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76D5" w14:textId="4FAF66D0" w:rsidR="00D07C27" w:rsidRDefault="00EC3D26" w:rsidP="00936441">
      <w:pPr>
        <w:pStyle w:val="Heading1"/>
        <w:ind w:right="545"/>
      </w:pPr>
      <w:r>
        <w:t>Пункт 26 повестки дня. Отчет CCWG по усовершенствованию подотчетности, рабочий поток 2</w:t>
      </w:r>
    </w:p>
    <w:p w14:paraId="7716CEA6" w14:textId="1BB4E9E2" w:rsidR="00E00260" w:rsidRPr="00E00260" w:rsidRDefault="00E00260" w:rsidP="00D10DB6">
      <w:pPr>
        <w:pStyle w:val="Heading2"/>
        <w:rPr>
          <w:sz w:val="20"/>
          <w:szCs w:val="20"/>
        </w:rPr>
      </w:pPr>
      <w:r>
        <w:t xml:space="preserve">Примечание. </w:t>
      </w:r>
      <w:r>
        <w:rPr>
          <w:color w:val="000000" w:themeColor="text1"/>
          <w:sz w:val="20"/>
        </w:rPr>
        <w:t>Эта информация подлежит обновлению на совещании GAC с учетом результатов очного заседания группы CCWG по усовершенствованию подотчетности в Панаме в воскресенье, 24 июня 2018 года.</w:t>
      </w:r>
    </w:p>
    <w:p w14:paraId="4ABE83AD" w14:textId="0C1E079D" w:rsidR="00E13252" w:rsidRDefault="00E13252" w:rsidP="00D10DB6">
      <w:pPr>
        <w:pStyle w:val="Heading2"/>
      </w:pPr>
      <w:r>
        <w:t>Вопросы</w:t>
      </w:r>
    </w:p>
    <w:p w14:paraId="70D8BD1F" w14:textId="43E77599" w:rsidR="00E00260" w:rsidRDefault="00A92158" w:rsidP="00E00260">
      <w:pPr>
        <w:pStyle w:val="ListParagraph"/>
        <w:numPr>
          <w:ilvl w:val="0"/>
          <w:numId w:val="5"/>
        </w:numPr>
        <w:spacing w:before="100" w:beforeAutospacing="1" w:after="240"/>
        <w:ind w:right="545"/>
        <w:rPr>
          <w:szCs w:val="20"/>
        </w:rPr>
      </w:pPr>
      <w:r>
        <w:t>Доклады назначенных GAC членов сквозной рабочей группы сообщества по усовершенствованию подотчетности ICANN — рабочий поток 2 (WS2).</w:t>
      </w:r>
    </w:p>
    <w:p w14:paraId="2EEF2ED9" w14:textId="75E7E1B9" w:rsidR="00023E59" w:rsidRPr="00A92158" w:rsidRDefault="00A92158" w:rsidP="00A92158">
      <w:pPr>
        <w:pStyle w:val="ListParagraph"/>
        <w:numPr>
          <w:ilvl w:val="0"/>
          <w:numId w:val="5"/>
        </w:numPr>
        <w:spacing w:before="100" w:beforeAutospacing="1" w:after="240"/>
        <w:ind w:right="545"/>
        <w:rPr>
          <w:szCs w:val="20"/>
        </w:rPr>
      </w:pPr>
      <w:r>
        <w:t>Итоговый отчет и рекомендации CCWG WS2.</w:t>
      </w:r>
    </w:p>
    <w:p w14:paraId="2FDA9BA2" w14:textId="70484D57" w:rsidR="00E00260" w:rsidRDefault="00831E94" w:rsidP="00E00260">
      <w:pPr>
        <w:pStyle w:val="ListParagraph"/>
        <w:numPr>
          <w:ilvl w:val="0"/>
          <w:numId w:val="5"/>
        </w:numPr>
        <w:spacing w:before="100" w:beforeAutospacing="1" w:after="240"/>
        <w:ind w:right="545"/>
        <w:rPr>
          <w:szCs w:val="20"/>
        </w:rPr>
      </w:pPr>
      <w:r>
        <w:t xml:space="preserve">Позиция GAC как организации-учредителя CCWG. </w:t>
      </w:r>
    </w:p>
    <w:p w14:paraId="24811425" w14:textId="4FF6E149" w:rsidR="00B1475A" w:rsidRDefault="00B1475A" w:rsidP="00D10DB6">
      <w:pPr>
        <w:pStyle w:val="Heading2"/>
      </w:pPr>
      <w:r>
        <w:t>Необходимые действия GAC</w:t>
      </w:r>
    </w:p>
    <w:p w14:paraId="0A3A4541" w14:textId="000C5F61" w:rsidR="00D34405" w:rsidRPr="00367D10" w:rsidRDefault="00E00260" w:rsidP="00367D10">
      <w:pPr>
        <w:pStyle w:val="BodyText"/>
        <w:numPr>
          <w:ilvl w:val="0"/>
          <w:numId w:val="16"/>
        </w:numPr>
        <w:ind w:right="545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Доклады членов GAC</w:t>
      </w:r>
    </w:p>
    <w:p w14:paraId="0E2B3024" w14:textId="7239B86A" w:rsidR="00C40474" w:rsidRDefault="00C40474" w:rsidP="00C40474">
      <w:pPr>
        <w:pStyle w:val="BodyText"/>
        <w:ind w:right="545"/>
      </w:pPr>
      <w:r>
        <w:t>На последних заседаниях GAC сложилась практика заслушивать доклады назначенных GAC членов CCWG. В период между собраниями доклады подготавливались и присылались в GAC секретариатом GAC из компании ACIG.</w:t>
      </w:r>
    </w:p>
    <w:p w14:paraId="29E29033" w14:textId="27AC6DA6" w:rsidR="00C40474" w:rsidRDefault="00C40474" w:rsidP="00C40474">
      <w:pPr>
        <w:pStyle w:val="BodyText"/>
        <w:ind w:right="545"/>
      </w:pPr>
      <w:r>
        <w:t xml:space="preserve">GAC назначил в состав CCWG следующих членов: Аргентина, Бразилия, Канада, Дания и Иран. </w:t>
      </w:r>
    </w:p>
    <w:p w14:paraId="1567A125" w14:textId="05040222" w:rsidR="00831E94" w:rsidRPr="00367D10" w:rsidRDefault="00A92158" w:rsidP="00367D10">
      <w:pPr>
        <w:pStyle w:val="BodyText"/>
        <w:numPr>
          <w:ilvl w:val="0"/>
          <w:numId w:val="16"/>
        </w:numPr>
        <w:ind w:right="545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Проект итогового отчета и рекомендаций</w:t>
      </w:r>
    </w:p>
    <w:p w14:paraId="2F010AA4" w14:textId="62080976" w:rsidR="001D64DD" w:rsidRDefault="00A92158" w:rsidP="00A92158">
      <w:pPr>
        <w:pStyle w:val="BodyText"/>
        <w:ind w:right="545"/>
      </w:pPr>
      <w:r>
        <w:t xml:space="preserve">CCWG опубликовала свой </w:t>
      </w:r>
      <w:hyperlink r:id="rId8">
        <w:r>
          <w:rPr>
            <w:rStyle w:val="Hyperlink"/>
          </w:rPr>
          <w:t>итоговый отчет</w:t>
        </w:r>
      </w:hyperlink>
      <w:r>
        <w:t xml:space="preserve"> с рекомендациями для общественного обсуждения с 30 марта по 11 мая 2018 года. Теоретически это обсуждение ограничивалось поиском несоответствий между рекомендациями. Причиной такого ограничения была невозможность вернуться к рассмотрению предметных вопросов, поскольку CCWG обязана представить свои окончательные результаты к июню 2018 года.</w:t>
      </w:r>
    </w:p>
    <w:p w14:paraId="7CA01744" w14:textId="2AED4177" w:rsidR="00D97BFC" w:rsidRDefault="00D97BFC" w:rsidP="00A92158">
      <w:pPr>
        <w:pStyle w:val="BodyText"/>
        <w:ind w:right="545"/>
      </w:pPr>
      <w:r>
        <w:t>Один член GAC (Франция) направил во время общественного обсуждения комментарии на тему разнообразия и юрисдикции.</w:t>
      </w:r>
    </w:p>
    <w:p w14:paraId="6AF533F1" w14:textId="01FA9183" w:rsidR="00D97BFC" w:rsidRDefault="00D97BFC" w:rsidP="00A92158">
      <w:pPr>
        <w:pStyle w:val="BodyText"/>
        <w:ind w:right="545"/>
      </w:pPr>
      <w:r>
        <w:t>Некоторые рекомендации вызвали озабоченность у Правления ICANN. На момент подготовки данного информационного документа вопросы, вызывающие озабоченность, еще обсуждаются с сопредседателями CCWG. Цель этого обсуждения в том — составить такое «руководство по реализации», которое позволит снять озабоченность Правления без изменения рекомендаций. Текущее положение дел представлено в таблице ниже.</w:t>
      </w:r>
    </w:p>
    <w:p w14:paraId="67BBBBA0" w14:textId="7069DA21" w:rsidR="00367D10" w:rsidRDefault="00A10D81" w:rsidP="001F009A">
      <w:pPr>
        <w:pStyle w:val="BodyText"/>
        <w:pageBreakBefore/>
        <w:ind w:right="544"/>
      </w:pPr>
      <w:r>
        <w:lastRenderedPageBreak/>
        <w:t>Ситуация с согласованными CCWG и вынесенными на общественное обсуждение рекомендациями такова:</w:t>
      </w:r>
    </w:p>
    <w:p w14:paraId="27E22564" w14:textId="77777777" w:rsidR="00D662AE" w:rsidRDefault="00D662AE" w:rsidP="00A92158">
      <w:pPr>
        <w:pStyle w:val="BodyText"/>
        <w:ind w:right="54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A10D81" w14:paraId="2A4359DC" w14:textId="77777777" w:rsidTr="000D1296">
        <w:tc>
          <w:tcPr>
            <w:tcW w:w="4803" w:type="dxa"/>
            <w:shd w:val="clear" w:color="auto" w:fill="BDD6EE" w:themeFill="accent1" w:themeFillTint="66"/>
          </w:tcPr>
          <w:p w14:paraId="2FEF778B" w14:textId="007D909A" w:rsidR="00A10D81" w:rsidRPr="000D1296" w:rsidRDefault="00D97BFC" w:rsidP="00A92158">
            <w:pPr>
              <w:pStyle w:val="BodyText"/>
              <w:ind w:right="54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Рекомендация</w:t>
            </w:r>
          </w:p>
        </w:tc>
        <w:tc>
          <w:tcPr>
            <w:tcW w:w="4804" w:type="dxa"/>
            <w:shd w:val="clear" w:color="auto" w:fill="BDD6EE" w:themeFill="accent1" w:themeFillTint="66"/>
          </w:tcPr>
          <w:p w14:paraId="10C9D6D5" w14:textId="4C802992" w:rsidR="00A10D81" w:rsidRPr="000D1296" w:rsidRDefault="00D97BFC" w:rsidP="00A92158">
            <w:pPr>
              <w:pStyle w:val="BodyText"/>
              <w:ind w:right="54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Комментарий</w:t>
            </w:r>
          </w:p>
        </w:tc>
      </w:tr>
      <w:tr w:rsidR="001A541E" w14:paraId="7268EB83" w14:textId="77777777" w:rsidTr="00A10D81">
        <w:tc>
          <w:tcPr>
            <w:tcW w:w="4803" w:type="dxa"/>
          </w:tcPr>
          <w:p w14:paraId="13F94156" w14:textId="3FE29C2F" w:rsidR="001A541E" w:rsidRPr="002A182A" w:rsidRDefault="001A541E" w:rsidP="00A92158">
            <w:pPr>
              <w:pStyle w:val="BodyText"/>
              <w:ind w:right="545"/>
              <w:rPr>
                <w:b/>
              </w:rPr>
            </w:pPr>
            <w:r>
              <w:rPr>
                <w:b/>
              </w:rPr>
              <w:t>Отчет и все рекомендации</w:t>
            </w:r>
          </w:p>
        </w:tc>
        <w:tc>
          <w:tcPr>
            <w:tcW w:w="4804" w:type="dxa"/>
          </w:tcPr>
          <w:p w14:paraId="5C4C33B7" w14:textId="7FCCA3D2" w:rsidR="001A541E" w:rsidRDefault="001A541E" w:rsidP="00A92158">
            <w:pPr>
              <w:pStyle w:val="BodyText"/>
              <w:ind w:right="545"/>
            </w:pPr>
            <w:r>
              <w:t>GAC не смог прийти к консенсусу относительно своих предложений и комментариев. Некоторые члены GAC отправили свои комментарии в процессе общественного обсуждения и отстаивали персональные точки зрения в рабочей группе CCWG.</w:t>
            </w:r>
          </w:p>
        </w:tc>
      </w:tr>
      <w:tr w:rsidR="00A10D81" w14:paraId="129D9BD8" w14:textId="77777777" w:rsidTr="00A10D81">
        <w:tc>
          <w:tcPr>
            <w:tcW w:w="4803" w:type="dxa"/>
          </w:tcPr>
          <w:p w14:paraId="31990C05" w14:textId="77777777" w:rsidR="00A10D81" w:rsidRPr="001F009A" w:rsidRDefault="00D97BFC" w:rsidP="00A92158">
            <w:pPr>
              <w:pStyle w:val="BodyText"/>
              <w:ind w:right="545"/>
              <w:rPr>
                <w:b/>
              </w:rPr>
            </w:pPr>
            <w:r w:rsidRPr="001F009A">
              <w:rPr>
                <w:b/>
              </w:rPr>
              <w:t>Разнообразие</w:t>
            </w:r>
          </w:p>
          <w:p w14:paraId="576EE518" w14:textId="77777777" w:rsidR="00481C0C" w:rsidRPr="001F009A" w:rsidRDefault="00481C0C" w:rsidP="00481C0C">
            <w:pPr>
              <w:pStyle w:val="BodyText"/>
              <w:numPr>
                <w:ilvl w:val="0"/>
                <w:numId w:val="14"/>
              </w:numPr>
              <w:ind w:right="545"/>
            </w:pPr>
            <w:r w:rsidRPr="001F009A">
              <w:t>Применение согласованного определения разнообразия в масштабе всей ICANN.</w:t>
            </w:r>
          </w:p>
          <w:p w14:paraId="5457BC48" w14:textId="10657B50" w:rsidR="00481C0C" w:rsidRPr="001F009A" w:rsidRDefault="00481C0C" w:rsidP="00481C0C">
            <w:pPr>
              <w:pStyle w:val="BodyText"/>
              <w:numPr>
                <w:ilvl w:val="0"/>
                <w:numId w:val="14"/>
              </w:numPr>
              <w:ind w:right="545"/>
            </w:pPr>
            <w:r w:rsidRPr="001F009A">
              <w:t>Организации поддержки и консуль</w:t>
            </w:r>
            <w:r w:rsidR="008D0D00">
              <w:softHyphen/>
            </w:r>
            <w:r w:rsidRPr="001F009A">
              <w:t>та</w:t>
            </w:r>
            <w:r w:rsidR="008D0D00">
              <w:softHyphen/>
            </w:r>
            <w:r w:rsidRPr="001F009A">
              <w:t>тивные комитеты должны рас</w:t>
            </w:r>
            <w:r w:rsidR="008D0D00">
              <w:softHyphen/>
            </w:r>
            <w:r w:rsidRPr="001F009A">
              <w:t>смот</w:t>
            </w:r>
            <w:r w:rsidR="008D0D00">
              <w:softHyphen/>
            </w:r>
            <w:r w:rsidRPr="001F009A">
              <w:t>реть и опубликовать собствен</w:t>
            </w:r>
            <w:r w:rsidR="008D0D00">
              <w:softHyphen/>
            </w:r>
            <w:r w:rsidRPr="001F009A">
              <w:t>ные инициативы по повышению внутреннего разно</w:t>
            </w:r>
            <w:r w:rsidR="008D0D00">
              <w:softHyphen/>
            </w:r>
            <w:r w:rsidRPr="001F009A">
              <w:t>образия при надлежащей под</w:t>
            </w:r>
            <w:r w:rsidR="008D0D00">
              <w:softHyphen/>
            </w:r>
            <w:r w:rsidRPr="001F009A">
              <w:t>держке со стороны корпорации ICANN.</w:t>
            </w:r>
          </w:p>
          <w:p w14:paraId="74DB1467" w14:textId="3D925379" w:rsidR="00481C0C" w:rsidRPr="001F009A" w:rsidRDefault="00481C0C" w:rsidP="00A92158">
            <w:pPr>
              <w:pStyle w:val="BodyText"/>
              <w:ind w:right="545"/>
            </w:pPr>
          </w:p>
        </w:tc>
        <w:tc>
          <w:tcPr>
            <w:tcW w:w="4804" w:type="dxa"/>
          </w:tcPr>
          <w:p w14:paraId="5D1293AB" w14:textId="0C289430" w:rsidR="00A10D81" w:rsidRPr="001F009A" w:rsidRDefault="000D1296" w:rsidP="00A92158">
            <w:pPr>
              <w:pStyle w:val="BodyText"/>
              <w:ind w:right="545"/>
            </w:pPr>
            <w:r w:rsidRPr="001F009A">
              <w:rPr>
                <w:b/>
              </w:rPr>
              <w:t>Франция</w:t>
            </w:r>
            <w:r w:rsidRPr="001F009A">
              <w:t>: французское правительство сожалеет, что предложение создать «Службу обеспечения разнообразия», конкретный и перспективный инстру</w:t>
            </w:r>
            <w:r w:rsidR="008D0D00">
              <w:softHyphen/>
            </w:r>
            <w:r w:rsidRPr="001F009A">
              <w:t>мент повышения разнообразия в ICANN, не было включено в состав реко</w:t>
            </w:r>
            <w:r w:rsidR="008D0D00">
              <w:softHyphen/>
            </w:r>
            <w:r w:rsidRPr="001F009A">
              <w:t>мен</w:t>
            </w:r>
            <w:r w:rsidR="008D0D00">
              <w:softHyphen/>
            </w:r>
            <w:r w:rsidRPr="001F009A">
              <w:t xml:space="preserve">даций </w:t>
            </w:r>
            <w:proofErr w:type="spellStart"/>
            <w:r w:rsidRPr="001F009A">
              <w:t>CWG</w:t>
            </w:r>
            <w:proofErr w:type="spellEnd"/>
            <w:r w:rsidRPr="001F009A">
              <w:t>.</w:t>
            </w:r>
          </w:p>
          <w:p w14:paraId="13AA9833" w14:textId="5F104793" w:rsidR="00E15156" w:rsidRPr="001F009A" w:rsidRDefault="00E15156" w:rsidP="00A92158">
            <w:pPr>
              <w:pStyle w:val="BodyText"/>
              <w:ind w:right="545"/>
            </w:pPr>
            <w:r w:rsidRPr="001F009A">
              <w:t>Предложения подгруппы по вопросам разнообразия содержат несколько полезных моментов, в том числе комплексное определение разно</w:t>
            </w:r>
            <w:r w:rsidR="008D0D00">
              <w:softHyphen/>
            </w:r>
            <w:r w:rsidRPr="001F009A">
              <w:t>образия, рекомендацию регулярно публиковать данные и создать систему, позволяющую сообществу задавать ICANN вопросы относительно прод</w:t>
            </w:r>
            <w:r w:rsidR="008D0D00">
              <w:softHyphen/>
            </w:r>
            <w:r w:rsidRPr="001F009A">
              <w:t>вижения в деле обеспечения разно</w:t>
            </w:r>
            <w:r w:rsidR="008D0D00">
              <w:softHyphen/>
            </w:r>
            <w:r w:rsidRPr="001F009A">
              <w:t>образия.</w:t>
            </w:r>
            <w:r w:rsidRPr="001F009A">
              <w:rPr>
                <w:rStyle w:val="FootnoteReference"/>
              </w:rPr>
              <w:footnoteReference w:id="1"/>
            </w:r>
          </w:p>
        </w:tc>
      </w:tr>
      <w:tr w:rsidR="00A10D81" w14:paraId="11AE53A9" w14:textId="77777777" w:rsidTr="00A10D81">
        <w:tc>
          <w:tcPr>
            <w:tcW w:w="4803" w:type="dxa"/>
          </w:tcPr>
          <w:p w14:paraId="4370739A" w14:textId="650B038A" w:rsidR="00A10D81" w:rsidRPr="002A182A" w:rsidRDefault="00D97BFC" w:rsidP="008D0D00">
            <w:pPr>
              <w:pStyle w:val="BodyText"/>
              <w:ind w:right="545"/>
              <w:jc w:val="left"/>
              <w:rPr>
                <w:b/>
              </w:rPr>
            </w:pPr>
            <w:r>
              <w:rPr>
                <w:b/>
              </w:rPr>
              <w:t>Принципы добросовестного поведения при отстранения от должности отдельных членов Правления ICANN</w:t>
            </w:r>
          </w:p>
        </w:tc>
        <w:tc>
          <w:tcPr>
            <w:tcW w:w="4804" w:type="dxa"/>
          </w:tcPr>
          <w:p w14:paraId="4C0FB562" w14:textId="278D0335" w:rsidR="00A10D81" w:rsidRDefault="001A541E" w:rsidP="00A92158">
            <w:pPr>
              <w:pStyle w:val="BodyText"/>
              <w:ind w:right="545"/>
            </w:pPr>
            <w:r>
              <w:t>Не обсуждается в GAC.</w:t>
            </w:r>
          </w:p>
        </w:tc>
      </w:tr>
      <w:tr w:rsidR="00A10D81" w14:paraId="158A80C0" w14:textId="77777777" w:rsidTr="00A10D81">
        <w:tc>
          <w:tcPr>
            <w:tcW w:w="4803" w:type="dxa"/>
          </w:tcPr>
          <w:p w14:paraId="5FA1C6D2" w14:textId="77777777" w:rsidR="00A10D81" w:rsidRPr="00E838B6" w:rsidRDefault="00D97BFC" w:rsidP="00A92158">
            <w:pPr>
              <w:pStyle w:val="BodyText"/>
              <w:ind w:right="545"/>
              <w:rPr>
                <w:b/>
              </w:rPr>
            </w:pPr>
            <w:r>
              <w:rPr>
                <w:b/>
              </w:rPr>
              <w:t>Концепция толкования прав человека</w:t>
            </w:r>
          </w:p>
          <w:p w14:paraId="67CC32D0" w14:textId="69204A5D" w:rsidR="00481C0C" w:rsidRDefault="00E838B6" w:rsidP="00A92158">
            <w:pPr>
              <w:pStyle w:val="BodyText"/>
              <w:numPr>
                <w:ilvl w:val="0"/>
                <w:numId w:val="15"/>
              </w:numPr>
              <w:ind w:right="545"/>
            </w:pPr>
            <w:r>
              <w:t>ICANN должна применять пред</w:t>
            </w:r>
            <w:r w:rsidR="008D0D00">
              <w:softHyphen/>
            </w:r>
            <w:r>
              <w:t>лагаемую концепцию толко</w:t>
            </w:r>
            <w:r w:rsidR="008D0D00">
              <w:softHyphen/>
            </w:r>
            <w:r>
              <w:t>вания положений Устава ICANN о правах человека и учитывать соот</w:t>
            </w:r>
            <w:r w:rsidR="008D0D00">
              <w:softHyphen/>
            </w:r>
            <w:r>
              <w:t>вет</w:t>
            </w:r>
            <w:r w:rsidR="008D0D00">
              <w:softHyphen/>
            </w:r>
            <w:r>
              <w:t>ствующие аспекты.</w:t>
            </w:r>
          </w:p>
        </w:tc>
        <w:tc>
          <w:tcPr>
            <w:tcW w:w="4804" w:type="dxa"/>
          </w:tcPr>
          <w:p w14:paraId="1FC64D26" w14:textId="19864B13" w:rsidR="00A10D81" w:rsidRDefault="001A541E" w:rsidP="00A92158">
            <w:pPr>
              <w:pStyle w:val="BodyText"/>
              <w:ind w:right="545"/>
            </w:pPr>
            <w:r>
              <w:t>Не обсуждается предметно в GAC.</w:t>
            </w:r>
          </w:p>
        </w:tc>
      </w:tr>
      <w:tr w:rsidR="00A10D81" w14:paraId="5E01705A" w14:textId="77777777" w:rsidTr="00A10D81">
        <w:tc>
          <w:tcPr>
            <w:tcW w:w="4803" w:type="dxa"/>
          </w:tcPr>
          <w:p w14:paraId="6B64FF36" w14:textId="77777777" w:rsidR="00A10D81" w:rsidRPr="00481C0C" w:rsidRDefault="00D97BFC" w:rsidP="001F009A">
            <w:pPr>
              <w:pStyle w:val="BodyText"/>
              <w:keepLines/>
              <w:ind w:right="544"/>
              <w:rPr>
                <w:b/>
              </w:rPr>
            </w:pPr>
            <w:r>
              <w:rPr>
                <w:b/>
              </w:rPr>
              <w:lastRenderedPageBreak/>
              <w:t>Юрисдикция</w:t>
            </w:r>
          </w:p>
          <w:p w14:paraId="00A082A5" w14:textId="77777777" w:rsidR="00481C0C" w:rsidRDefault="00481C0C" w:rsidP="001F009A">
            <w:pPr>
              <w:pStyle w:val="BodyText"/>
              <w:keepLines/>
              <w:numPr>
                <w:ilvl w:val="0"/>
                <w:numId w:val="13"/>
              </w:numPr>
              <w:ind w:right="544"/>
            </w:pPr>
            <w:r>
              <w:t>ICANN должна способствовать заблаговременному получению лицензий OFAC.</w:t>
            </w:r>
          </w:p>
          <w:p w14:paraId="28C0AE63" w14:textId="605BC2AF" w:rsidR="00481C0C" w:rsidRDefault="00481C0C" w:rsidP="001F009A">
            <w:pPr>
              <w:pStyle w:val="BodyText"/>
              <w:keepLines/>
              <w:numPr>
                <w:ilvl w:val="0"/>
                <w:numId w:val="13"/>
              </w:numPr>
              <w:ind w:right="544"/>
            </w:pPr>
            <w:r>
              <w:t>Поддерживается подход на основе «меню», позволяющий сторонам соглашений с ICANN выбирать применимое право до заключения соглашения; хотя есть ряд других вариантов.</w:t>
            </w:r>
          </w:p>
          <w:p w14:paraId="7D7A0656" w14:textId="414EA1C3" w:rsidR="00481C0C" w:rsidRDefault="00481C0C" w:rsidP="001F009A">
            <w:pPr>
              <w:pStyle w:val="BodyText"/>
              <w:keepLines/>
              <w:ind w:right="544"/>
            </w:pPr>
          </w:p>
        </w:tc>
        <w:tc>
          <w:tcPr>
            <w:tcW w:w="4804" w:type="dxa"/>
          </w:tcPr>
          <w:p w14:paraId="3C8CBD87" w14:textId="75C27BF8" w:rsidR="00A10D81" w:rsidRDefault="000D1296" w:rsidP="001F009A">
            <w:pPr>
              <w:pStyle w:val="BodyText"/>
              <w:keepLines/>
              <w:ind w:right="544"/>
            </w:pPr>
            <w:r>
              <w:rPr>
                <w:b/>
              </w:rPr>
              <w:t>Франция</w:t>
            </w:r>
            <w:r>
              <w:t>: учитывая серьезные разно</w:t>
            </w:r>
            <w:r w:rsidR="008D0D00">
              <w:softHyphen/>
            </w:r>
            <w:r>
              <w:t>гласия в подгруппе, французское правительство рекомендует ее членам изучить новые способы обеспечения иммунитета от юрисдикции, в том числе частичного, чтобы гарантировать независимость и подотчетность всех международному интернет-сообщест</w:t>
            </w:r>
            <w:r w:rsidR="008D0D00">
              <w:softHyphen/>
            </w:r>
            <w:r>
              <w:t>ву.</w:t>
            </w:r>
            <w:r>
              <w:rPr>
                <w:rStyle w:val="FootnoteReference"/>
              </w:rPr>
              <w:footnoteReference w:id="2"/>
            </w:r>
          </w:p>
          <w:p w14:paraId="4D52011C" w14:textId="411AC97D" w:rsidR="00927979" w:rsidRDefault="00927979" w:rsidP="001F009A">
            <w:pPr>
              <w:pStyle w:val="BodyText"/>
              <w:keepLines/>
              <w:ind w:right="544"/>
            </w:pPr>
            <w:r>
              <w:rPr>
                <w:b/>
              </w:rPr>
              <w:t>Бразилия</w:t>
            </w:r>
            <w:r>
              <w:t>: следует выделить достаточ</w:t>
            </w:r>
            <w:r w:rsidR="008D0D00">
              <w:softHyphen/>
            </w:r>
            <w:r>
              <w:t xml:space="preserve">ное количество времени для обсуждения в </w:t>
            </w:r>
            <w:proofErr w:type="spellStart"/>
            <w:r>
              <w:t>GAC</w:t>
            </w:r>
            <w:proofErr w:type="spellEnd"/>
            <w:r>
              <w:t xml:space="preserve"> рекомендаций на тему юрисдикции и, если удастся, определить позицию комитета.</w:t>
            </w:r>
            <w:r>
              <w:rPr>
                <w:rStyle w:val="FootnoteReference"/>
              </w:rPr>
              <w:footnoteReference w:id="3"/>
            </w:r>
          </w:p>
        </w:tc>
      </w:tr>
      <w:tr w:rsidR="00A10D81" w14:paraId="3AEE549B" w14:textId="77777777" w:rsidTr="00A10D81">
        <w:tc>
          <w:tcPr>
            <w:tcW w:w="4803" w:type="dxa"/>
          </w:tcPr>
          <w:p w14:paraId="78401D16" w14:textId="4B12F40D" w:rsidR="00A10D81" w:rsidRPr="002A182A" w:rsidRDefault="00D97BFC" w:rsidP="00A92158">
            <w:pPr>
              <w:pStyle w:val="BodyText"/>
              <w:ind w:right="545"/>
              <w:rPr>
                <w:b/>
              </w:rPr>
            </w:pPr>
            <w:r>
              <w:rPr>
                <w:b/>
              </w:rPr>
              <w:t>Омбудсмен ICANN</w:t>
            </w:r>
          </w:p>
        </w:tc>
        <w:tc>
          <w:tcPr>
            <w:tcW w:w="4804" w:type="dxa"/>
          </w:tcPr>
          <w:p w14:paraId="7DCD457B" w14:textId="77777777" w:rsidR="00A10D81" w:rsidRDefault="001A541E" w:rsidP="00A92158">
            <w:pPr>
              <w:pStyle w:val="BodyText"/>
              <w:ind w:right="545"/>
            </w:pPr>
            <w:r>
              <w:t>Не обсуждается предметно в GAC.</w:t>
            </w:r>
          </w:p>
          <w:p w14:paraId="4EA8C084" w14:textId="48A809F8" w:rsidR="00D662AE" w:rsidRDefault="00D662AE" w:rsidP="00A92158">
            <w:pPr>
              <w:pStyle w:val="BodyText"/>
              <w:ind w:right="545"/>
            </w:pPr>
            <w:r>
              <w:t>Правление ICANN выразило озабочен</w:t>
            </w:r>
            <w:r w:rsidR="008D0D00">
              <w:softHyphen/>
            </w:r>
            <w:r>
              <w:t>ность. Находится на стадии обсуждения с сопредседателями CCWG.</w:t>
            </w:r>
          </w:p>
        </w:tc>
      </w:tr>
      <w:tr w:rsidR="00A10D81" w14:paraId="131598E2" w14:textId="77777777" w:rsidTr="00A10D81">
        <w:tc>
          <w:tcPr>
            <w:tcW w:w="4803" w:type="dxa"/>
          </w:tcPr>
          <w:p w14:paraId="398EB55E" w14:textId="26A70DCD" w:rsidR="00A10D81" w:rsidRPr="00481C0C" w:rsidRDefault="00D97BFC" w:rsidP="008D0D00">
            <w:pPr>
              <w:pStyle w:val="BodyText"/>
              <w:ind w:right="545"/>
              <w:jc w:val="left"/>
              <w:rPr>
                <w:b/>
              </w:rPr>
            </w:pPr>
            <w:r>
              <w:rPr>
                <w:b/>
              </w:rPr>
              <w:t>Подотчетность организаций поддержки и консультативных комитетов</w:t>
            </w:r>
          </w:p>
          <w:p w14:paraId="32D096C4" w14:textId="11CED2BE" w:rsidR="00481C0C" w:rsidRPr="003606AB" w:rsidRDefault="00481C0C" w:rsidP="00481C0C">
            <w:pPr>
              <w:pStyle w:val="BodyText"/>
              <w:numPr>
                <w:ilvl w:val="0"/>
                <w:numId w:val="15"/>
              </w:numPr>
              <w:ind w:right="545"/>
              <w:rPr>
                <w:spacing w:val="-4"/>
              </w:rPr>
            </w:pPr>
            <w:r w:rsidRPr="003606AB">
              <w:rPr>
                <w:spacing w:val="-4"/>
              </w:rPr>
              <w:t>Организации поддержки и консультативные комитеты должны внедрить рекомендованные передо</w:t>
            </w:r>
            <w:r w:rsidR="008D0D00">
              <w:rPr>
                <w:spacing w:val="-4"/>
              </w:rPr>
              <w:softHyphen/>
            </w:r>
            <w:r w:rsidRPr="003606AB">
              <w:rPr>
                <w:spacing w:val="-4"/>
              </w:rPr>
              <w:t>вые методы работы (с учетом структуры и назначения этих организаций и комитетов) в следующих областях: подотчетность, транспарентность, участие, инфор</w:t>
            </w:r>
            <w:r w:rsidR="008D0D00">
              <w:rPr>
                <w:spacing w:val="-4"/>
              </w:rPr>
              <w:softHyphen/>
            </w:r>
            <w:r w:rsidRPr="003606AB">
              <w:rPr>
                <w:spacing w:val="-4"/>
              </w:rPr>
              <w:t>ми</w:t>
            </w:r>
            <w:r w:rsidR="008D0D00">
              <w:rPr>
                <w:spacing w:val="-4"/>
              </w:rPr>
              <w:softHyphen/>
            </w:r>
            <w:r w:rsidRPr="003606AB">
              <w:rPr>
                <w:spacing w:val="-4"/>
              </w:rPr>
              <w:t>рование и обновление регла</w:t>
            </w:r>
            <w:r w:rsidR="008D0D00">
              <w:rPr>
                <w:spacing w:val="-4"/>
              </w:rPr>
              <w:softHyphen/>
            </w:r>
            <w:r w:rsidRPr="003606AB">
              <w:rPr>
                <w:spacing w:val="-4"/>
              </w:rPr>
              <w:t>мента и процедур.</w:t>
            </w:r>
          </w:p>
          <w:p w14:paraId="6430912D" w14:textId="68F5D239" w:rsidR="00481C0C" w:rsidRDefault="00481C0C" w:rsidP="00A92158">
            <w:pPr>
              <w:pStyle w:val="BodyText"/>
              <w:ind w:right="545"/>
            </w:pPr>
          </w:p>
        </w:tc>
        <w:tc>
          <w:tcPr>
            <w:tcW w:w="4804" w:type="dxa"/>
          </w:tcPr>
          <w:p w14:paraId="363E6781" w14:textId="369B0A3E" w:rsidR="00A10D81" w:rsidRDefault="002B5CC4" w:rsidP="00A92158">
            <w:pPr>
              <w:pStyle w:val="BodyText"/>
              <w:ind w:right="545"/>
            </w:pPr>
            <w:r>
              <w:t>Не обсуждается предметно в GAC.</w:t>
            </w:r>
          </w:p>
        </w:tc>
      </w:tr>
      <w:tr w:rsidR="00A10D81" w14:paraId="10C269E3" w14:textId="77777777" w:rsidTr="00A10D81">
        <w:tc>
          <w:tcPr>
            <w:tcW w:w="4803" w:type="dxa"/>
          </w:tcPr>
          <w:p w14:paraId="3E96C17C" w14:textId="7E294E4F" w:rsidR="00A10D81" w:rsidRPr="002A182A" w:rsidRDefault="00481C0C" w:rsidP="00A92158">
            <w:pPr>
              <w:pStyle w:val="BodyText"/>
              <w:ind w:right="545"/>
              <w:rPr>
                <w:b/>
              </w:rPr>
            </w:pPr>
            <w:r>
              <w:rPr>
                <w:b/>
              </w:rPr>
              <w:t>Подотчетность персонала</w:t>
            </w:r>
          </w:p>
        </w:tc>
        <w:tc>
          <w:tcPr>
            <w:tcW w:w="4804" w:type="dxa"/>
          </w:tcPr>
          <w:p w14:paraId="38899268" w14:textId="6A121DB3" w:rsidR="00A10D81" w:rsidRDefault="001A541E" w:rsidP="00A92158">
            <w:pPr>
              <w:pStyle w:val="BodyText"/>
              <w:ind w:right="545"/>
            </w:pPr>
            <w:r>
              <w:t>Не обсуждается в GAC.</w:t>
            </w:r>
          </w:p>
        </w:tc>
      </w:tr>
      <w:tr w:rsidR="00A10D81" w14:paraId="16710921" w14:textId="77777777" w:rsidTr="00A10D81">
        <w:tc>
          <w:tcPr>
            <w:tcW w:w="4803" w:type="dxa"/>
          </w:tcPr>
          <w:p w14:paraId="681053DA" w14:textId="71C9326F" w:rsidR="00A10D81" w:rsidRPr="00481C0C" w:rsidRDefault="00D97BFC" w:rsidP="00117042">
            <w:pPr>
              <w:pStyle w:val="BodyText"/>
              <w:keepNext/>
              <w:keepLines/>
              <w:ind w:right="544"/>
              <w:rPr>
                <w:b/>
              </w:rPr>
            </w:pPr>
            <w:r>
              <w:rPr>
                <w:b/>
              </w:rPr>
              <w:lastRenderedPageBreak/>
              <w:t>Транспарентность ICANN</w:t>
            </w:r>
          </w:p>
          <w:p w14:paraId="38969D45" w14:textId="77777777" w:rsidR="00481C0C" w:rsidRPr="003606AB" w:rsidRDefault="00481C0C" w:rsidP="00117042">
            <w:pPr>
              <w:pStyle w:val="BodyText"/>
              <w:keepNext/>
              <w:keepLines/>
              <w:numPr>
                <w:ilvl w:val="0"/>
                <w:numId w:val="15"/>
              </w:numPr>
              <w:ind w:right="544"/>
              <w:rPr>
                <w:spacing w:val="-4"/>
              </w:rPr>
            </w:pPr>
            <w:r w:rsidRPr="003606AB">
              <w:rPr>
                <w:spacing w:val="-4"/>
              </w:rPr>
              <w:t>ICANN должна регулярно публиковать сведения о взаимодействии с правительствами.</w:t>
            </w:r>
          </w:p>
          <w:p w14:paraId="0D64F598" w14:textId="1A2FC57A" w:rsidR="00481C0C" w:rsidRDefault="00481C0C" w:rsidP="00117042">
            <w:pPr>
              <w:pStyle w:val="BodyText"/>
              <w:keepNext/>
              <w:keepLines/>
              <w:numPr>
                <w:ilvl w:val="0"/>
                <w:numId w:val="15"/>
              </w:numPr>
              <w:ind w:right="544"/>
            </w:pPr>
            <w:r>
              <w:t>ICANN должна улучшить механизмы раскрытия информации и работы с осведомителями.</w:t>
            </w:r>
          </w:p>
        </w:tc>
        <w:tc>
          <w:tcPr>
            <w:tcW w:w="4804" w:type="dxa"/>
          </w:tcPr>
          <w:p w14:paraId="08E05507" w14:textId="77777777" w:rsidR="00A10D81" w:rsidRDefault="002B5CC4" w:rsidP="00117042">
            <w:pPr>
              <w:pStyle w:val="BodyText"/>
              <w:keepNext/>
              <w:keepLines/>
              <w:ind w:right="544"/>
            </w:pPr>
            <w:r>
              <w:t>Не обсуждается в GAC.</w:t>
            </w:r>
          </w:p>
          <w:p w14:paraId="752E90AC" w14:textId="46777035" w:rsidR="00D662AE" w:rsidRDefault="00D662AE" w:rsidP="00117042">
            <w:pPr>
              <w:pStyle w:val="BodyText"/>
              <w:keepNext/>
              <w:keepLines/>
              <w:ind w:right="544"/>
            </w:pPr>
            <w:r>
              <w:t>Правление ICANN выразило озабочен</w:t>
            </w:r>
            <w:r w:rsidR="008D0D00">
              <w:softHyphen/>
            </w:r>
            <w:r>
              <w:t>ность. Находится на стадии обсуждения с сопредседателями CCWG.</w:t>
            </w:r>
          </w:p>
        </w:tc>
      </w:tr>
    </w:tbl>
    <w:p w14:paraId="565591CE" w14:textId="5CC3E9BD" w:rsidR="001D64DD" w:rsidRDefault="001D64DD" w:rsidP="001D64DD">
      <w:pPr>
        <w:pStyle w:val="BodyText"/>
        <w:ind w:right="545"/>
      </w:pPr>
    </w:p>
    <w:p w14:paraId="084AABDB" w14:textId="1E640A76" w:rsidR="001D64DD" w:rsidRPr="001A541E" w:rsidRDefault="00E00260" w:rsidP="001A541E">
      <w:pPr>
        <w:pStyle w:val="BodyText"/>
        <w:numPr>
          <w:ilvl w:val="0"/>
          <w:numId w:val="16"/>
        </w:numPr>
        <w:ind w:right="545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Позиция GAC как организации-учредителя CCWG </w:t>
      </w:r>
    </w:p>
    <w:p w14:paraId="5171B0E4" w14:textId="698FDF6F" w:rsidR="00352E3D" w:rsidRDefault="007F0696" w:rsidP="00352E3D">
      <w:pPr>
        <w:pStyle w:val="BodyText"/>
        <w:ind w:right="545"/>
      </w:pPr>
      <w:r>
        <w:t xml:space="preserve">GAC (как и другие организации поддержки и консультативные комитеты) — организация-учредитель данной CCWG. </w:t>
      </w:r>
      <w:hyperlink r:id="rId9">
        <w:r>
          <w:rPr>
            <w:rStyle w:val="Hyperlink"/>
          </w:rPr>
          <w:t>Устав</w:t>
        </w:r>
      </w:hyperlink>
      <w:r>
        <w:t xml:space="preserve"> гласит, что: </w:t>
      </w:r>
      <w:r>
        <w:rPr>
          <w:i/>
        </w:rPr>
        <w:t>«...каждая организация-учредитель должна будет рассмотреть и обсудить такие проекты предложений и решить, принимать ли изложенные в них рекомендации».</w:t>
      </w:r>
    </w:p>
    <w:p w14:paraId="59B41F0B" w14:textId="4AC105B8" w:rsidR="00352E3D" w:rsidRDefault="00F80CBA" w:rsidP="00352E3D">
      <w:pPr>
        <w:pStyle w:val="BodyText"/>
        <w:ind w:right="545"/>
      </w:pPr>
      <w:r>
        <w:t>У GAC есть несколько возможных вариантов ответа:</w:t>
      </w:r>
    </w:p>
    <w:p w14:paraId="6A052E3F" w14:textId="089BCF3B" w:rsidR="00E5754C" w:rsidRDefault="00E5754C" w:rsidP="00E5754C">
      <w:pPr>
        <w:pStyle w:val="BodyText"/>
        <w:numPr>
          <w:ilvl w:val="0"/>
          <w:numId w:val="18"/>
        </w:numPr>
        <w:ind w:right="545"/>
      </w:pPr>
      <w:r>
        <w:t>Поддержать выполнение всех рекомендаций.</w:t>
      </w:r>
    </w:p>
    <w:p w14:paraId="5C69C0FB" w14:textId="14571A6B" w:rsidR="00E5754C" w:rsidRDefault="00E5754C" w:rsidP="00E5754C">
      <w:pPr>
        <w:pStyle w:val="BodyText"/>
        <w:numPr>
          <w:ilvl w:val="0"/>
          <w:numId w:val="18"/>
        </w:numPr>
        <w:ind w:right="545"/>
      </w:pPr>
      <w:r>
        <w:t>Указать конкретные области разногласий и предложить альтернативы. Сюда могут относиться, к примеру, конкретные вопросы, которые нужно решить в процессе реализации, и/или продолжение рассмотрения спорных вопросов на другом форуме (возможно, это будет проще и потребует меньше ресурсов).</w:t>
      </w:r>
    </w:p>
    <w:p w14:paraId="412A8102" w14:textId="4859A74A" w:rsidR="00F80CBA" w:rsidRPr="00D662AE" w:rsidRDefault="007F0696" w:rsidP="00E5754C">
      <w:pPr>
        <w:pStyle w:val="BodyText"/>
        <w:numPr>
          <w:ilvl w:val="0"/>
          <w:numId w:val="18"/>
        </w:numPr>
        <w:ind w:right="545"/>
      </w:pPr>
      <w:r>
        <w:t xml:space="preserve">Что касается рекомендаций первого рабочего потока CCWG, GAC занял следующую позицию: </w:t>
      </w:r>
      <w:r>
        <w:rPr>
          <w:i/>
        </w:rPr>
        <w:t>«Хотя есть делегации, поддержавшие данное предложение, есть и другие делегации, которые не готовы одобрить это предложение в целом. Несмотря на эти разногласия, GAC не возражает против передачи предложения Правлению ICANN».</w:t>
      </w:r>
      <w:r>
        <w:rPr>
          <w:rStyle w:val="FootnoteReference"/>
        </w:rPr>
        <w:footnoteReference w:id="4"/>
      </w:r>
    </w:p>
    <w:p w14:paraId="3273998D" w14:textId="77777777" w:rsidR="00D662AE" w:rsidRDefault="00D662AE" w:rsidP="00D662AE">
      <w:pPr>
        <w:pStyle w:val="BodyText"/>
        <w:ind w:left="360" w:right="545"/>
      </w:pPr>
    </w:p>
    <w:p w14:paraId="3B2525D7" w14:textId="6E71691F" w:rsidR="001A5355" w:rsidRDefault="00B1475A" w:rsidP="00D10DB6">
      <w:pPr>
        <w:pStyle w:val="Heading2"/>
      </w:pPr>
      <w:r>
        <w:t>Текущее положение дел</w:t>
      </w:r>
    </w:p>
    <w:p w14:paraId="4D89A73C" w14:textId="77777777" w:rsidR="002A182A" w:rsidRDefault="002A182A" w:rsidP="00E838B6">
      <w:pPr>
        <w:pStyle w:val="BodyText"/>
      </w:pPr>
      <w:r>
        <w:t>На момент подготовки данного информационного документа:</w:t>
      </w:r>
    </w:p>
    <w:p w14:paraId="28B11235" w14:textId="69FA9C7E" w:rsidR="00D662AE" w:rsidRDefault="00D662AE" w:rsidP="002A182A">
      <w:pPr>
        <w:pStyle w:val="BodyText"/>
        <w:numPr>
          <w:ilvl w:val="0"/>
          <w:numId w:val="19"/>
        </w:numPr>
      </w:pPr>
      <w:r>
        <w:t>После конференции ICANN-61 пленарные заседания CCWG не проводились.</w:t>
      </w:r>
    </w:p>
    <w:p w14:paraId="1502D2F7" w14:textId="39A7AB77" w:rsidR="00207ED8" w:rsidRDefault="002A182A" w:rsidP="002A182A">
      <w:pPr>
        <w:pStyle w:val="BodyText"/>
        <w:numPr>
          <w:ilvl w:val="0"/>
          <w:numId w:val="19"/>
        </w:numPr>
      </w:pPr>
      <w:r>
        <w:t>Сопредседатели CCWG все еще рассматривают причины озабоченности Правления ICANN и отдельные проекты рекомендаций.</w:t>
      </w:r>
    </w:p>
    <w:p w14:paraId="1E440D17" w14:textId="46B9767A" w:rsidR="002A182A" w:rsidRDefault="002A182A" w:rsidP="002A182A">
      <w:pPr>
        <w:pStyle w:val="BodyText"/>
        <w:numPr>
          <w:ilvl w:val="0"/>
          <w:numId w:val="19"/>
        </w:numPr>
      </w:pPr>
      <w:r>
        <w:t>Еще не до конца определены схемы передачи отчета и рекомендаций на рассмотрение организаций-учредителей.</w:t>
      </w:r>
    </w:p>
    <w:p w14:paraId="3B466CDB" w14:textId="1EF1531D" w:rsidR="00D10DB6" w:rsidRDefault="00D10DB6" w:rsidP="000F5927">
      <w:pPr>
        <w:widowControl w:val="0"/>
        <w:autoSpaceDE w:val="0"/>
        <w:autoSpaceDN w:val="0"/>
        <w:adjustRightInd w:val="0"/>
        <w:spacing w:after="200" w:line="276" w:lineRule="auto"/>
        <w:ind w:right="545"/>
        <w:jc w:val="both"/>
        <w:rPr>
          <w:rFonts w:ascii="Century Gothic" w:eastAsia="Calibri" w:hAnsi="Century Gothic" w:cs="Century Gothic"/>
          <w:sz w:val="20"/>
          <w:szCs w:val="20"/>
        </w:rPr>
      </w:pPr>
    </w:p>
    <w:p w14:paraId="03097BF6" w14:textId="5FBAE542" w:rsidR="00D10DB6" w:rsidRDefault="00D10DB6" w:rsidP="00D10DB6">
      <w:pPr>
        <w:pStyle w:val="Heading2"/>
      </w:pPr>
      <w:r>
        <w:lastRenderedPageBreak/>
        <w:t>Дополнительная информация</w:t>
      </w:r>
    </w:p>
    <w:p w14:paraId="7C0ED2D3" w14:textId="2535D3AD" w:rsidR="00D10DB6" w:rsidRPr="00D10DB6" w:rsidRDefault="008D0D00" w:rsidP="008D0D00">
      <w:pPr>
        <w:pStyle w:val="BodyText"/>
        <w:jc w:val="left"/>
        <w:rPr>
          <w:rStyle w:val="Hyperlink"/>
        </w:rPr>
      </w:pPr>
      <w:hyperlink r:id="rId10" w:history="1">
        <w:r w:rsidR="00D10DB6">
          <w:rPr>
            <w:rStyle w:val="Hyperlink"/>
          </w:rPr>
          <w:t>Рабочий поток 2 сквозной рабочей группы сообщества по усовершен</w:t>
        </w:r>
        <w:bookmarkStart w:id="0" w:name="_GoBack"/>
        <w:bookmarkEnd w:id="0"/>
        <w:r w:rsidR="00D10DB6">
          <w:rPr>
            <w:rStyle w:val="Hyperlink"/>
          </w:rPr>
          <w:t>ствованию подотчетности ICANN (WS2)</w:t>
        </w:r>
      </w:hyperlink>
    </w:p>
    <w:p w14:paraId="1FF9F184" w14:textId="3F2A66EA" w:rsidR="00D10DB6" w:rsidRPr="00D10DB6" w:rsidRDefault="008D0D00" w:rsidP="008D0D00">
      <w:pPr>
        <w:pStyle w:val="BodyText"/>
        <w:ind w:right="1253"/>
        <w:jc w:val="left"/>
        <w:rPr>
          <w:rStyle w:val="Hyperlink"/>
        </w:rPr>
      </w:pPr>
      <w:hyperlink r:id="rId11" w:history="1"/>
      <w:hyperlink r:id="rId12" w:history="1">
        <w:r w:rsidR="00D10DB6">
          <w:rPr>
            <w:rStyle w:val="Hyperlink"/>
          </w:rPr>
          <w:t>Подгруппа по юрисдикции сквозной рабочей группы сообщества по усовершенствованию подотчетности ICANN</w:t>
        </w:r>
      </w:hyperlink>
    </w:p>
    <w:p w14:paraId="2A6D99FC" w14:textId="20913CA6" w:rsidR="00D10DB6" w:rsidRDefault="008D0D00" w:rsidP="008D0D00">
      <w:pPr>
        <w:widowControl w:val="0"/>
        <w:autoSpaceDE w:val="0"/>
        <w:autoSpaceDN w:val="0"/>
        <w:adjustRightInd w:val="0"/>
        <w:spacing w:after="200" w:line="276" w:lineRule="auto"/>
        <w:ind w:right="545"/>
        <w:rPr>
          <w:rFonts w:ascii="Century Gothic" w:eastAsia="Calibri" w:hAnsi="Century Gothic"/>
          <w:sz w:val="20"/>
          <w:szCs w:val="22"/>
        </w:rPr>
      </w:pPr>
      <w:hyperlink r:id="rId13" w:history="1"/>
      <w:hyperlink r:id="rId14">
        <w:r w:rsidR="00D10DB6">
          <w:rPr>
            <w:rStyle w:val="Hyperlink"/>
            <w:rFonts w:ascii="Century Gothic" w:hAnsi="Century Gothic"/>
            <w:sz w:val="20"/>
          </w:rPr>
          <w:t>Подгруппа по разнообразию сквозной рабочей группы сообщества по усовершенствованию подотчетности ICANN</w:t>
        </w:r>
      </w:hyperlink>
    </w:p>
    <w:p w14:paraId="18B97190" w14:textId="047FE81C" w:rsidR="00C77E9F" w:rsidRDefault="008D0D00" w:rsidP="008D0D00">
      <w:pPr>
        <w:widowControl w:val="0"/>
        <w:autoSpaceDE w:val="0"/>
        <w:autoSpaceDN w:val="0"/>
        <w:adjustRightInd w:val="0"/>
        <w:spacing w:after="200" w:line="276" w:lineRule="auto"/>
        <w:ind w:right="545"/>
        <w:rPr>
          <w:rFonts w:ascii="Century Gothic" w:eastAsia="Calibri" w:hAnsi="Century Gothic"/>
          <w:sz w:val="20"/>
          <w:szCs w:val="22"/>
        </w:rPr>
      </w:pPr>
      <w:hyperlink r:id="rId15">
        <w:r w:rsidR="00B124BF">
          <w:rPr>
            <w:rStyle w:val="Hyperlink"/>
            <w:rFonts w:ascii="Century Gothic" w:hAnsi="Century Gothic"/>
            <w:sz w:val="20"/>
          </w:rPr>
          <w:t>Подгруппа по правам человека сквозной рабочей группы сообщества по усовершенствованию подотчетности ICANN</w:t>
        </w:r>
      </w:hyperlink>
    </w:p>
    <w:p w14:paraId="0BFFDDDE" w14:textId="7A345739" w:rsidR="00C77E9F" w:rsidRDefault="008D0D00" w:rsidP="008D0D00">
      <w:pPr>
        <w:widowControl w:val="0"/>
        <w:autoSpaceDE w:val="0"/>
        <w:autoSpaceDN w:val="0"/>
        <w:adjustRightInd w:val="0"/>
        <w:spacing w:after="200" w:line="276" w:lineRule="auto"/>
        <w:ind w:right="545"/>
        <w:rPr>
          <w:rFonts w:ascii="Century Gothic" w:eastAsia="Calibri" w:hAnsi="Century Gothic"/>
          <w:sz w:val="20"/>
          <w:szCs w:val="22"/>
        </w:rPr>
      </w:pPr>
      <w:hyperlink r:id="rId16">
        <w:r w:rsidR="00B124BF">
          <w:rPr>
            <w:rStyle w:val="Hyperlink"/>
            <w:rFonts w:ascii="Century Gothic" w:hAnsi="Century Gothic"/>
            <w:sz w:val="20"/>
          </w:rPr>
          <w:t>Подгруппа по подотчетности SO/AC сквозной рабочей группы сообщества по усовершенствованию подотчетности ICANN</w:t>
        </w:r>
      </w:hyperlink>
    </w:p>
    <w:p w14:paraId="5D147C92" w14:textId="77777777" w:rsidR="00D10DB6" w:rsidRDefault="00D10DB6" w:rsidP="00D10DB6">
      <w:pPr>
        <w:widowControl w:val="0"/>
        <w:autoSpaceDE w:val="0"/>
        <w:autoSpaceDN w:val="0"/>
        <w:adjustRightInd w:val="0"/>
        <w:spacing w:after="200" w:line="276" w:lineRule="auto"/>
        <w:ind w:right="545"/>
        <w:jc w:val="both"/>
        <w:rPr>
          <w:rFonts w:ascii="Century Gothic" w:eastAsia="Calibri" w:hAnsi="Century Gothic"/>
          <w:sz w:val="20"/>
          <w:szCs w:val="22"/>
        </w:rPr>
      </w:pPr>
    </w:p>
    <w:p w14:paraId="75FBDFE7" w14:textId="77777777" w:rsidR="00D10DB6" w:rsidRDefault="00D10DB6" w:rsidP="00D10DB6">
      <w:pPr>
        <w:widowControl w:val="0"/>
        <w:autoSpaceDE w:val="0"/>
        <w:autoSpaceDN w:val="0"/>
        <w:adjustRightInd w:val="0"/>
        <w:spacing w:after="200" w:line="276" w:lineRule="auto"/>
        <w:ind w:right="545"/>
        <w:jc w:val="both"/>
        <w:rPr>
          <w:rFonts w:ascii="Century Gothic" w:eastAsia="Calibri" w:hAnsi="Century Gothic"/>
          <w:sz w:val="20"/>
          <w:szCs w:val="22"/>
        </w:rPr>
      </w:pPr>
    </w:p>
    <w:p w14:paraId="5AC98C37" w14:textId="77777777" w:rsidR="00D10DB6" w:rsidRDefault="00D10DB6" w:rsidP="00D10DB6">
      <w:pPr>
        <w:widowControl w:val="0"/>
        <w:autoSpaceDE w:val="0"/>
        <w:autoSpaceDN w:val="0"/>
        <w:adjustRightInd w:val="0"/>
        <w:spacing w:after="200" w:line="276" w:lineRule="auto"/>
        <w:ind w:right="545"/>
        <w:jc w:val="both"/>
        <w:rPr>
          <w:rFonts w:ascii="Century Gothic" w:eastAsia="Calibri" w:hAnsi="Century Gothic"/>
          <w:sz w:val="20"/>
          <w:szCs w:val="22"/>
        </w:rPr>
      </w:pPr>
    </w:p>
    <w:p w14:paraId="0114F805" w14:textId="77777777" w:rsidR="00D10DB6" w:rsidRDefault="00D10DB6" w:rsidP="00D10DB6">
      <w:pPr>
        <w:widowControl w:val="0"/>
        <w:autoSpaceDE w:val="0"/>
        <w:autoSpaceDN w:val="0"/>
        <w:adjustRightInd w:val="0"/>
        <w:spacing w:after="200" w:line="276" w:lineRule="auto"/>
        <w:ind w:right="545"/>
        <w:jc w:val="both"/>
        <w:rPr>
          <w:rFonts w:ascii="Century Gothic" w:eastAsia="Calibri" w:hAnsi="Century Gothic"/>
          <w:sz w:val="20"/>
          <w:szCs w:val="22"/>
        </w:rPr>
      </w:pPr>
    </w:p>
    <w:p w14:paraId="1C7B89B9" w14:textId="77777777" w:rsidR="00D10DB6" w:rsidRDefault="00D10DB6" w:rsidP="00D10DB6">
      <w:pPr>
        <w:pStyle w:val="Heading2"/>
      </w:pPr>
      <w:bookmarkStart w:id="1" w:name="_Hlk484433727"/>
      <w:r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10DB6" w:rsidRPr="003F43E3" w14:paraId="78B133EA" w14:textId="77777777" w:rsidTr="00A30382">
        <w:tc>
          <w:tcPr>
            <w:tcW w:w="3261" w:type="dxa"/>
            <w:vAlign w:val="center"/>
          </w:tcPr>
          <w:p w14:paraId="4A5F30A2" w14:textId="77777777" w:rsidR="00D10DB6" w:rsidRPr="003F43E3" w:rsidRDefault="00D10DB6" w:rsidP="00A30382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40D9A58F" w14:textId="274AF380" w:rsidR="00D10DB6" w:rsidRPr="00EA3A02" w:rsidRDefault="00C77E9F" w:rsidP="00D10DB6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Отчет о работе CCWG по усовершенствованию подотчетности — WS2</w:t>
            </w:r>
          </w:p>
        </w:tc>
      </w:tr>
      <w:tr w:rsidR="00D10DB6" w:rsidRPr="003F43E3" w14:paraId="3293C14D" w14:textId="77777777" w:rsidTr="00A30382">
        <w:tc>
          <w:tcPr>
            <w:tcW w:w="3261" w:type="dxa"/>
            <w:vAlign w:val="center"/>
          </w:tcPr>
          <w:p w14:paraId="248CAC85" w14:textId="77777777" w:rsidR="00D10DB6" w:rsidRPr="003F43E3" w:rsidRDefault="00D10DB6" w:rsidP="00A30382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43C3334C" w14:textId="77777777" w:rsidR="00D10DB6" w:rsidRPr="003F43E3" w:rsidRDefault="00D10DB6" w:rsidP="00A30382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Члены GAC</w:t>
            </w:r>
          </w:p>
        </w:tc>
      </w:tr>
      <w:tr w:rsidR="00D10DB6" w:rsidRPr="003F43E3" w14:paraId="08CDC155" w14:textId="77777777" w:rsidTr="00A30382">
        <w:tc>
          <w:tcPr>
            <w:tcW w:w="3261" w:type="dxa"/>
            <w:vAlign w:val="center"/>
          </w:tcPr>
          <w:p w14:paraId="696B86E1" w14:textId="77777777" w:rsidR="00D10DB6" w:rsidRPr="003F43E3" w:rsidRDefault="00D10DB6" w:rsidP="00A30382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699E24BA" w14:textId="77777777" w:rsidR="00D10DB6" w:rsidRDefault="00D662AE" w:rsidP="00A30382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Версия 1.0: 7 июня 2018 года</w:t>
            </w:r>
          </w:p>
          <w:p w14:paraId="5D2252C2" w14:textId="000B30BE" w:rsidR="00D662AE" w:rsidRPr="003F43E3" w:rsidRDefault="00D662AE" w:rsidP="00A30382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eastAsiaTheme="minorEastAsia" w:hAnsi="Century Gothic" w:cstheme="minorBidi"/>
                <w:sz w:val="20"/>
              </w:rPr>
              <w:t>Версия 1.1: 14 июня 2018 года</w:t>
            </w:r>
          </w:p>
        </w:tc>
      </w:tr>
      <w:bookmarkEnd w:id="1"/>
    </w:tbl>
    <w:p w14:paraId="5CB2C162" w14:textId="77777777" w:rsidR="00D10DB6" w:rsidRDefault="00D10DB6" w:rsidP="00B124BF">
      <w:pPr>
        <w:pStyle w:val="BodyText"/>
        <w:ind w:right="545"/>
      </w:pPr>
    </w:p>
    <w:sectPr w:rsidR="00D10DB6" w:rsidSect="007A174E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77E23" w14:textId="77777777" w:rsidR="009432E8" w:rsidRDefault="009432E8" w:rsidP="00A24449">
      <w:r>
        <w:separator/>
      </w:r>
    </w:p>
  </w:endnote>
  <w:endnote w:type="continuationSeparator" w:id="0">
    <w:p w14:paraId="324D866E" w14:textId="77777777" w:rsidR="009432E8" w:rsidRDefault="009432E8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EB9D" w14:textId="77777777" w:rsidR="00265E52" w:rsidRDefault="00265E52" w:rsidP="002276FD">
    <w:pPr>
      <w:pStyle w:val="Footer"/>
      <w:ind w:left="-567" w:right="261"/>
    </w:pPr>
  </w:p>
  <w:p w14:paraId="22C9A9EC" w14:textId="0C176F7E" w:rsidR="00265E52" w:rsidRPr="00B026C8" w:rsidRDefault="00034EAA" w:rsidP="00AA6D42">
    <w:pPr>
      <w:pBdr>
        <w:top w:val="single" w:sz="18" w:space="1" w:color="1F497D"/>
      </w:pBdr>
      <w:spacing w:before="240"/>
      <w:ind w:right="545"/>
      <w:rPr>
        <w:rFonts w:ascii="Century Gothic" w:hAnsi="Century Gothic"/>
        <w:color w:val="00408E"/>
      </w:rPr>
    </w:pPr>
    <w:r>
      <w:tab/>
    </w:r>
    <w:r>
      <w:tab/>
    </w:r>
    <w:r>
      <w:tab/>
    </w:r>
    <w:r>
      <w:tab/>
    </w:r>
    <w:r>
      <w:rPr>
        <w:sz w:val="16"/>
      </w:rPr>
      <w:t xml:space="preserve">     </w:t>
    </w:r>
    <w:r w:rsidR="00265E52">
      <w:rPr>
        <w:sz w:val="16"/>
      </w:rPr>
      <w:t xml:space="preserve">                                                         </w:t>
    </w:r>
    <w:r w:rsidR="00265E52">
      <w:tab/>
    </w:r>
    <w:r w:rsidR="00265E52">
      <w:tab/>
    </w:r>
    <w:r w:rsidR="00265E52">
      <w:tab/>
    </w:r>
    <w:r w:rsidR="00265E52">
      <w:rPr>
        <w:rFonts w:ascii="Century Gothic" w:hAnsi="Century Gothic"/>
        <w:color w:val="00408E"/>
        <w:sz w:val="16"/>
      </w:rPr>
      <w:t xml:space="preserve">Страница </w: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265E52"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8D0D00">
      <w:rPr>
        <w:rFonts w:ascii="Century Gothic" w:hAnsi="Century Gothic"/>
        <w:noProof/>
        <w:color w:val="00408E"/>
        <w:sz w:val="16"/>
        <w:szCs w:val="16"/>
      </w:rPr>
      <w:t>5</w: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end"/>
    </w:r>
    <w:r w:rsidR="00265E52">
      <w:rPr>
        <w:rFonts w:ascii="Century Gothic" w:hAnsi="Century Gothic"/>
        <w:color w:val="00408E"/>
        <w:sz w:val="16"/>
      </w:rPr>
      <w:t xml:space="preserve"> из </w: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="00265E52"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8D0D00">
      <w:rPr>
        <w:rFonts w:ascii="Century Gothic" w:hAnsi="Century Gothic"/>
        <w:noProof/>
        <w:color w:val="00408E"/>
        <w:sz w:val="16"/>
        <w:szCs w:val="16"/>
      </w:rPr>
      <w:t>5</w:t>
    </w:r>
    <w:r w:rsidR="00265E52"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2D888BF1" w14:textId="77777777" w:rsidR="00265E52" w:rsidRPr="000C0FD7" w:rsidRDefault="00265E52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83CC" w14:textId="77777777" w:rsidR="00265E52" w:rsidRPr="00C2562C" w:rsidRDefault="00265E52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4E0CE35E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5F7B5C75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1A96EBCB" w14:textId="77777777" w:rsidR="00265E52" w:rsidRPr="00B026C8" w:rsidRDefault="00265E52" w:rsidP="00740F60">
    <w:pPr>
      <w:pStyle w:val="NoSpacing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2AE084D1" w14:textId="77777777" w:rsidR="00265E52" w:rsidRDefault="00265E52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110C" w14:textId="77777777" w:rsidR="009432E8" w:rsidRDefault="009432E8" w:rsidP="00A24449">
      <w:r>
        <w:separator/>
      </w:r>
    </w:p>
  </w:footnote>
  <w:footnote w:type="continuationSeparator" w:id="0">
    <w:p w14:paraId="53DD9679" w14:textId="77777777" w:rsidR="009432E8" w:rsidRDefault="009432E8" w:rsidP="00A24449">
      <w:r>
        <w:continuationSeparator/>
      </w:r>
    </w:p>
  </w:footnote>
  <w:footnote w:id="1">
    <w:p w14:paraId="435DD598" w14:textId="6DED8930" w:rsidR="006B7BEC" w:rsidRPr="006B7BEC" w:rsidRDefault="006B7BEC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Франция: </w:t>
      </w:r>
      <w:hyperlink r:id="rId1">
        <w:r>
          <w:rPr>
            <w:rStyle w:val="Hyperlink"/>
            <w:rFonts w:ascii="Century Gothic" w:hAnsi="Century Gothic"/>
            <w:sz w:val="18"/>
          </w:rPr>
          <w:t>комментарий на тему разнообразия в рамках общественного обсуждения</w:t>
        </w:r>
      </w:hyperlink>
    </w:p>
  </w:footnote>
  <w:footnote w:id="2">
    <w:p w14:paraId="0C000A08" w14:textId="3DE6B0F1" w:rsidR="00927979" w:rsidRPr="00E15156" w:rsidRDefault="00927979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Франция: </w:t>
      </w:r>
      <w:hyperlink r:id="rId2">
        <w:r>
          <w:rPr>
            <w:rStyle w:val="Hyperlink"/>
            <w:rFonts w:ascii="Century Gothic" w:hAnsi="Century Gothic"/>
            <w:sz w:val="18"/>
          </w:rPr>
          <w:t>комментарий на тему юрисдикции в рамках общественного обсуждения</w:t>
        </w:r>
      </w:hyperlink>
      <w:r>
        <w:rPr>
          <w:rFonts w:ascii="Century Gothic" w:hAnsi="Century Gothic"/>
          <w:sz w:val="18"/>
        </w:rPr>
        <w:t xml:space="preserve"> </w:t>
      </w:r>
    </w:p>
  </w:footnote>
  <w:footnote w:id="3">
    <w:p w14:paraId="407CF1D4" w14:textId="4E368156" w:rsidR="00E15156" w:rsidRDefault="00E15156">
      <w:pPr>
        <w:pStyle w:val="FootnoteText"/>
      </w:pPr>
      <w:r>
        <w:rPr>
          <w:rStyle w:val="FootnoteReference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Бразилия: рекомендация секретариату и назначенным </w:t>
      </w:r>
      <w:proofErr w:type="spellStart"/>
      <w:r>
        <w:rPr>
          <w:rFonts w:ascii="Century Gothic" w:hAnsi="Century Gothic"/>
          <w:sz w:val="18"/>
        </w:rPr>
        <w:t>GAC</w:t>
      </w:r>
      <w:proofErr w:type="spellEnd"/>
      <w:r>
        <w:rPr>
          <w:rFonts w:ascii="Century Gothic" w:hAnsi="Century Gothic"/>
          <w:sz w:val="18"/>
        </w:rPr>
        <w:t xml:space="preserve"> членам CCWG накануне совещания</w:t>
      </w:r>
    </w:p>
  </w:footnote>
  <w:footnote w:id="4">
    <w:p w14:paraId="06F8B80B" w14:textId="695515AA" w:rsidR="007F0696" w:rsidRPr="007F0696" w:rsidRDefault="007F0696">
      <w:pPr>
        <w:pStyle w:val="FootnoteText"/>
        <w:rPr>
          <w:rFonts w:ascii="Century Gothic" w:hAnsi="Century Gothic"/>
          <w:sz w:val="18"/>
          <w:szCs w:val="18"/>
        </w:rPr>
      </w:pPr>
      <w:r>
        <w:rPr>
          <w:rStyle w:val="FootnoteReference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</w:t>
      </w:r>
      <w:hyperlink r:id="rId3">
        <w:r>
          <w:rPr>
            <w:rStyle w:val="Hyperlink"/>
            <w:rFonts w:ascii="Century Gothic" w:hAnsi="Century Gothic"/>
            <w:sz w:val="18"/>
          </w:rPr>
          <w:t xml:space="preserve">Коммюнике </w:t>
        </w:r>
        <w:proofErr w:type="spellStart"/>
        <w:r>
          <w:rPr>
            <w:rStyle w:val="Hyperlink"/>
            <w:rFonts w:ascii="Century Gothic" w:hAnsi="Century Gothic"/>
            <w:sz w:val="18"/>
          </w:rPr>
          <w:t>GAC</w:t>
        </w:r>
        <w:proofErr w:type="spellEnd"/>
        <w:r>
          <w:rPr>
            <w:rStyle w:val="Hyperlink"/>
            <w:rFonts w:ascii="Century Gothic" w:hAnsi="Century Gothic"/>
            <w:sz w:val="18"/>
          </w:rPr>
          <w:t xml:space="preserve"> по результатам заседаний в Марракеше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CC198" w14:textId="5DE68BD0" w:rsidR="00265E52" w:rsidRDefault="00265E52" w:rsidP="00B53525">
    <w:pPr>
      <w:pStyle w:val="Header"/>
      <w:tabs>
        <w:tab w:val="clear" w:pos="4680"/>
        <w:tab w:val="clear" w:pos="9360"/>
      </w:tabs>
      <w:ind w:right="-306"/>
    </w:pPr>
    <w:r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62CC8F" wp14:editId="774E69C8">
              <wp:simplePos x="0" y="0"/>
              <wp:positionH relativeFrom="column">
                <wp:posOffset>4536440</wp:posOffset>
              </wp:positionH>
              <wp:positionV relativeFrom="paragraph">
                <wp:posOffset>222885</wp:posOffset>
              </wp:positionV>
              <wp:extent cx="1340485" cy="297815"/>
              <wp:effectExtent l="2540" t="381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3E30" w14:textId="77777777" w:rsidR="00265E52" w:rsidRPr="0091773C" w:rsidRDefault="00265E52" w:rsidP="00B53525">
                          <w:pPr>
                            <w:ind w:left="-142"/>
                            <w:rPr>
                              <w:rFonts w:ascii="Arial Narrow" w:hAnsi="Arial Narrow"/>
                              <w:color w:val="C4591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45911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2C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7.2pt;margin-top:17.55pt;width:105.55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" stroked="f">
              <v:textbox>
                <w:txbxContent>
                  <w:p w14:paraId="60A23E30" w14:textId="77777777" w:rsidR="00265E52" w:rsidRPr="0091773C" w:rsidRDefault="00265E52" w:rsidP="00B53525">
                    <w:pPr>
                      <w:ind w:left="-142"/>
                      <w:rPr>
                        <w:rFonts w:ascii="Arial Narrow" w:hAnsi="Arial Narrow"/>
                        <w:color w:val="C45911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45911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</w:t>
    </w:r>
    <w:r>
      <w:rPr>
        <w:noProof/>
        <w:lang w:val="en-US" w:eastAsia="zh-CN" w:bidi="ar-SA"/>
      </w:rPr>
      <w:drawing>
        <wp:inline distT="0" distB="0" distL="0" distR="0" wp14:anchorId="2807CE83" wp14:editId="4E8A2DEA">
          <wp:extent cx="457200" cy="293077"/>
          <wp:effectExtent l="0" t="0" r="0" b="12065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3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1037EF" wp14:editId="573EA211">
              <wp:simplePos x="0" y="0"/>
              <wp:positionH relativeFrom="column">
                <wp:posOffset>4536440</wp:posOffset>
              </wp:positionH>
              <wp:positionV relativeFrom="paragraph">
                <wp:posOffset>222885</wp:posOffset>
              </wp:positionV>
              <wp:extent cx="1340485" cy="297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42CE0B" w14:textId="77777777" w:rsidR="00265E52" w:rsidRPr="002276FD" w:rsidRDefault="00265E52" w:rsidP="00CD30A8">
                          <w:pPr>
                            <w:ind w:left="-142"/>
                            <w:rPr>
                              <w:rFonts w:ascii="Arial Narrow" w:hAnsi="Arial Narrow"/>
                              <w:color w:val="C45911" w:themeColor="accent2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45911" w:themeColor="accent2" w:themeShade="BF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037EF" id="Text Box 4" o:spid="_x0000_s1027" type="#_x0000_t202" style="position:absolute;left:0;text-align:left;margin-left:357.2pt;margin-top:17.55pt;width:105.55pt;height:2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" stroked="f">
              <v:textbox>
                <w:txbxContent>
                  <w:p w14:paraId="5342CE0B" w14:textId="77777777" w:rsidR="00265E52" w:rsidRPr="002276FD" w:rsidRDefault="00265E52" w:rsidP="00CD30A8">
                    <w:pPr>
                      <w:ind w:left="-142"/>
                      <w:rPr>
                        <w:rFonts w:ascii="Arial Narrow" w:hAnsi="Arial Narrow"/>
                        <w:color w:val="C45911" w:themeColor="accent2" w:themeShade="BF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45911" w:themeColor="accent2" w:themeShade="BF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2F92" w14:textId="77777777" w:rsidR="00265E52" w:rsidRDefault="00265E52" w:rsidP="00C2562C">
    <w:pPr>
      <w:pStyle w:val="Header"/>
      <w:tabs>
        <w:tab w:val="clear" w:pos="9360"/>
      </w:tabs>
      <w:ind w:left="-851"/>
      <w:jc w:val="center"/>
    </w:pPr>
    <w:r>
      <w:rPr>
        <w:noProof/>
        <w:lang w:val="en-US" w:eastAsia="zh-CN" w:bidi="ar-SA"/>
      </w:rPr>
      <w:drawing>
        <wp:inline distT="0" distB="0" distL="0" distR="0" wp14:anchorId="18DC42A4" wp14:editId="54F54699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1F2F7D65"/>
    <w:multiLevelType w:val="hybridMultilevel"/>
    <w:tmpl w:val="C910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3D24"/>
    <w:multiLevelType w:val="multilevel"/>
    <w:tmpl w:val="EAF674C4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4E14971"/>
    <w:multiLevelType w:val="hybridMultilevel"/>
    <w:tmpl w:val="58CA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5CDC"/>
    <w:multiLevelType w:val="hybridMultilevel"/>
    <w:tmpl w:val="6EBA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3FD3"/>
    <w:multiLevelType w:val="hybridMultilevel"/>
    <w:tmpl w:val="A20889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1011F"/>
    <w:multiLevelType w:val="multilevel"/>
    <w:tmpl w:val="6BB6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70D48"/>
    <w:multiLevelType w:val="hybridMultilevel"/>
    <w:tmpl w:val="4EF6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61F4139C"/>
    <w:multiLevelType w:val="hybridMultilevel"/>
    <w:tmpl w:val="531E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127E"/>
    <w:multiLevelType w:val="hybridMultilevel"/>
    <w:tmpl w:val="5DC81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598B"/>
    <w:multiLevelType w:val="hybridMultilevel"/>
    <w:tmpl w:val="F73A0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B208F4"/>
    <w:multiLevelType w:val="hybridMultilevel"/>
    <w:tmpl w:val="9EF4A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CC7DE8"/>
    <w:multiLevelType w:val="hybridMultilevel"/>
    <w:tmpl w:val="8B326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22F5B"/>
    <w:multiLevelType w:val="hybridMultilevel"/>
    <w:tmpl w:val="07826F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437814"/>
    <w:multiLevelType w:val="hybridMultilevel"/>
    <w:tmpl w:val="E72E63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E28B0"/>
    <w:multiLevelType w:val="hybridMultilevel"/>
    <w:tmpl w:val="AADAE810"/>
    <w:lvl w:ilvl="0" w:tplc="7B98F9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8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15"/>
  </w:num>
  <w:num w:numId="16">
    <w:abstractNumId w:val="14"/>
  </w:num>
  <w:num w:numId="17">
    <w:abstractNumId w:val="12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D6"/>
    <w:rsid w:val="00000949"/>
    <w:rsid w:val="000121B8"/>
    <w:rsid w:val="00017DDB"/>
    <w:rsid w:val="00023512"/>
    <w:rsid w:val="00023E59"/>
    <w:rsid w:val="0002714F"/>
    <w:rsid w:val="000328A2"/>
    <w:rsid w:val="00034EAA"/>
    <w:rsid w:val="0007760C"/>
    <w:rsid w:val="00083BC8"/>
    <w:rsid w:val="0008562A"/>
    <w:rsid w:val="00085A36"/>
    <w:rsid w:val="000964B7"/>
    <w:rsid w:val="000A1076"/>
    <w:rsid w:val="000B6365"/>
    <w:rsid w:val="000C0FD7"/>
    <w:rsid w:val="000C5167"/>
    <w:rsid w:val="000C6B2E"/>
    <w:rsid w:val="000C7897"/>
    <w:rsid w:val="000D1296"/>
    <w:rsid w:val="000F083F"/>
    <w:rsid w:val="000F5927"/>
    <w:rsid w:val="000F794C"/>
    <w:rsid w:val="00101754"/>
    <w:rsid w:val="00102247"/>
    <w:rsid w:val="00117042"/>
    <w:rsid w:val="00123E04"/>
    <w:rsid w:val="00124881"/>
    <w:rsid w:val="001373A0"/>
    <w:rsid w:val="00141874"/>
    <w:rsid w:val="00142EBB"/>
    <w:rsid w:val="00144B1B"/>
    <w:rsid w:val="00147E65"/>
    <w:rsid w:val="001577F4"/>
    <w:rsid w:val="0016195D"/>
    <w:rsid w:val="00181D77"/>
    <w:rsid w:val="00184A6B"/>
    <w:rsid w:val="001A5355"/>
    <w:rsid w:val="001A541E"/>
    <w:rsid w:val="001A6E2E"/>
    <w:rsid w:val="001B337F"/>
    <w:rsid w:val="001B35DE"/>
    <w:rsid w:val="001D0AB7"/>
    <w:rsid w:val="001D1DEB"/>
    <w:rsid w:val="001D64DD"/>
    <w:rsid w:val="001F009A"/>
    <w:rsid w:val="001F797E"/>
    <w:rsid w:val="00203D87"/>
    <w:rsid w:val="002058E1"/>
    <w:rsid w:val="00207ED8"/>
    <w:rsid w:val="002110FA"/>
    <w:rsid w:val="0021772D"/>
    <w:rsid w:val="0022503D"/>
    <w:rsid w:val="002276FD"/>
    <w:rsid w:val="002342A7"/>
    <w:rsid w:val="002473AD"/>
    <w:rsid w:val="00250279"/>
    <w:rsid w:val="00265E52"/>
    <w:rsid w:val="00265F90"/>
    <w:rsid w:val="00273354"/>
    <w:rsid w:val="00276F47"/>
    <w:rsid w:val="00287DA6"/>
    <w:rsid w:val="00293161"/>
    <w:rsid w:val="00294D4F"/>
    <w:rsid w:val="002A182A"/>
    <w:rsid w:val="002A1E40"/>
    <w:rsid w:val="002B5CC4"/>
    <w:rsid w:val="002B7D69"/>
    <w:rsid w:val="002C3D50"/>
    <w:rsid w:val="002C7EFF"/>
    <w:rsid w:val="00304123"/>
    <w:rsid w:val="00306036"/>
    <w:rsid w:val="00311AA0"/>
    <w:rsid w:val="00327A1A"/>
    <w:rsid w:val="003308BB"/>
    <w:rsid w:val="003401B4"/>
    <w:rsid w:val="003426C6"/>
    <w:rsid w:val="003426EE"/>
    <w:rsid w:val="00352CA5"/>
    <w:rsid w:val="00352E3D"/>
    <w:rsid w:val="003606AB"/>
    <w:rsid w:val="003643C4"/>
    <w:rsid w:val="003644DC"/>
    <w:rsid w:val="00367D10"/>
    <w:rsid w:val="00371356"/>
    <w:rsid w:val="00384915"/>
    <w:rsid w:val="00391D09"/>
    <w:rsid w:val="00392926"/>
    <w:rsid w:val="003951BB"/>
    <w:rsid w:val="003961C1"/>
    <w:rsid w:val="003B50A3"/>
    <w:rsid w:val="003D7A8D"/>
    <w:rsid w:val="003E03CB"/>
    <w:rsid w:val="003F0D47"/>
    <w:rsid w:val="003F1F29"/>
    <w:rsid w:val="003F4225"/>
    <w:rsid w:val="003F686E"/>
    <w:rsid w:val="00400344"/>
    <w:rsid w:val="0040195C"/>
    <w:rsid w:val="00406CEE"/>
    <w:rsid w:val="00412A64"/>
    <w:rsid w:val="00416093"/>
    <w:rsid w:val="0042169D"/>
    <w:rsid w:val="004256A5"/>
    <w:rsid w:val="004353D1"/>
    <w:rsid w:val="00440B47"/>
    <w:rsid w:val="00454CBD"/>
    <w:rsid w:val="0045612A"/>
    <w:rsid w:val="00460A7C"/>
    <w:rsid w:val="00463411"/>
    <w:rsid w:val="00466E60"/>
    <w:rsid w:val="00472AE4"/>
    <w:rsid w:val="00481C0C"/>
    <w:rsid w:val="00482610"/>
    <w:rsid w:val="004837E2"/>
    <w:rsid w:val="00483D9D"/>
    <w:rsid w:val="00492E56"/>
    <w:rsid w:val="0049600A"/>
    <w:rsid w:val="004A18F6"/>
    <w:rsid w:val="004A35BB"/>
    <w:rsid w:val="004A47B9"/>
    <w:rsid w:val="004A58B8"/>
    <w:rsid w:val="004A76DE"/>
    <w:rsid w:val="004B6776"/>
    <w:rsid w:val="004B6A85"/>
    <w:rsid w:val="004E22C7"/>
    <w:rsid w:val="004E2498"/>
    <w:rsid w:val="004E4B74"/>
    <w:rsid w:val="0051347B"/>
    <w:rsid w:val="00517E99"/>
    <w:rsid w:val="00532323"/>
    <w:rsid w:val="0054429B"/>
    <w:rsid w:val="005562E5"/>
    <w:rsid w:val="0055717A"/>
    <w:rsid w:val="005716B7"/>
    <w:rsid w:val="00573397"/>
    <w:rsid w:val="0057629A"/>
    <w:rsid w:val="0057629C"/>
    <w:rsid w:val="00577F86"/>
    <w:rsid w:val="00580A87"/>
    <w:rsid w:val="005A2B8D"/>
    <w:rsid w:val="005C09C7"/>
    <w:rsid w:val="005C163D"/>
    <w:rsid w:val="005C62A7"/>
    <w:rsid w:val="005D6F61"/>
    <w:rsid w:val="005E2917"/>
    <w:rsid w:val="005F2D09"/>
    <w:rsid w:val="0061016F"/>
    <w:rsid w:val="0061408A"/>
    <w:rsid w:val="0061550E"/>
    <w:rsid w:val="00624AEC"/>
    <w:rsid w:val="0063569C"/>
    <w:rsid w:val="00635F0B"/>
    <w:rsid w:val="00647BBA"/>
    <w:rsid w:val="00652018"/>
    <w:rsid w:val="00656C07"/>
    <w:rsid w:val="006735F6"/>
    <w:rsid w:val="00673F9B"/>
    <w:rsid w:val="006762B8"/>
    <w:rsid w:val="0067792E"/>
    <w:rsid w:val="00683C6C"/>
    <w:rsid w:val="00685BA3"/>
    <w:rsid w:val="00696FFE"/>
    <w:rsid w:val="006A3757"/>
    <w:rsid w:val="006B7BEC"/>
    <w:rsid w:val="006E28C6"/>
    <w:rsid w:val="006E5066"/>
    <w:rsid w:val="006E5C0F"/>
    <w:rsid w:val="006F1FB6"/>
    <w:rsid w:val="0070074A"/>
    <w:rsid w:val="0071629B"/>
    <w:rsid w:val="00722431"/>
    <w:rsid w:val="0072423D"/>
    <w:rsid w:val="00726B93"/>
    <w:rsid w:val="00731C3E"/>
    <w:rsid w:val="00733E56"/>
    <w:rsid w:val="00736CC9"/>
    <w:rsid w:val="00740F60"/>
    <w:rsid w:val="00743A93"/>
    <w:rsid w:val="007670C2"/>
    <w:rsid w:val="00767C65"/>
    <w:rsid w:val="00787F8F"/>
    <w:rsid w:val="007A174E"/>
    <w:rsid w:val="007A7FA6"/>
    <w:rsid w:val="007C3742"/>
    <w:rsid w:val="007C469F"/>
    <w:rsid w:val="007D32B7"/>
    <w:rsid w:val="007E1AD3"/>
    <w:rsid w:val="007E6F9A"/>
    <w:rsid w:val="007F0696"/>
    <w:rsid w:val="007F633A"/>
    <w:rsid w:val="007F7962"/>
    <w:rsid w:val="00803F79"/>
    <w:rsid w:val="00804134"/>
    <w:rsid w:val="00815A76"/>
    <w:rsid w:val="00817EAC"/>
    <w:rsid w:val="00831E94"/>
    <w:rsid w:val="00832606"/>
    <w:rsid w:val="00832757"/>
    <w:rsid w:val="00832AEE"/>
    <w:rsid w:val="00841F67"/>
    <w:rsid w:val="008433FC"/>
    <w:rsid w:val="00854588"/>
    <w:rsid w:val="00860F68"/>
    <w:rsid w:val="00866FF8"/>
    <w:rsid w:val="0087241F"/>
    <w:rsid w:val="00873893"/>
    <w:rsid w:val="00876A55"/>
    <w:rsid w:val="0087723B"/>
    <w:rsid w:val="00880308"/>
    <w:rsid w:val="008822A3"/>
    <w:rsid w:val="00882354"/>
    <w:rsid w:val="00882E28"/>
    <w:rsid w:val="008930C3"/>
    <w:rsid w:val="00897328"/>
    <w:rsid w:val="008A4120"/>
    <w:rsid w:val="008B442C"/>
    <w:rsid w:val="008C4F95"/>
    <w:rsid w:val="008D0D00"/>
    <w:rsid w:val="008D3421"/>
    <w:rsid w:val="008D72E9"/>
    <w:rsid w:val="008F1AF4"/>
    <w:rsid w:val="009123B6"/>
    <w:rsid w:val="00914215"/>
    <w:rsid w:val="0091532B"/>
    <w:rsid w:val="0091793A"/>
    <w:rsid w:val="00927979"/>
    <w:rsid w:val="00935124"/>
    <w:rsid w:val="00936441"/>
    <w:rsid w:val="009432E8"/>
    <w:rsid w:val="00960831"/>
    <w:rsid w:val="0099631A"/>
    <w:rsid w:val="009A3A9F"/>
    <w:rsid w:val="009A5F69"/>
    <w:rsid w:val="009B5DA7"/>
    <w:rsid w:val="009B79A6"/>
    <w:rsid w:val="009C757D"/>
    <w:rsid w:val="009C77A8"/>
    <w:rsid w:val="009D5A26"/>
    <w:rsid w:val="009F47C8"/>
    <w:rsid w:val="00A07882"/>
    <w:rsid w:val="00A10D81"/>
    <w:rsid w:val="00A172FA"/>
    <w:rsid w:val="00A243F9"/>
    <w:rsid w:val="00A24449"/>
    <w:rsid w:val="00A36228"/>
    <w:rsid w:val="00A3629D"/>
    <w:rsid w:val="00A40DB0"/>
    <w:rsid w:val="00A44B9B"/>
    <w:rsid w:val="00A660EB"/>
    <w:rsid w:val="00A67F51"/>
    <w:rsid w:val="00A80A68"/>
    <w:rsid w:val="00A86B36"/>
    <w:rsid w:val="00A92158"/>
    <w:rsid w:val="00A97410"/>
    <w:rsid w:val="00AA0126"/>
    <w:rsid w:val="00AA3927"/>
    <w:rsid w:val="00AA6D42"/>
    <w:rsid w:val="00AC1BD6"/>
    <w:rsid w:val="00AC209F"/>
    <w:rsid w:val="00AC3F95"/>
    <w:rsid w:val="00AC5490"/>
    <w:rsid w:val="00AC54BB"/>
    <w:rsid w:val="00AD1076"/>
    <w:rsid w:val="00AE0D58"/>
    <w:rsid w:val="00AE686B"/>
    <w:rsid w:val="00AF4291"/>
    <w:rsid w:val="00B026C8"/>
    <w:rsid w:val="00B124BF"/>
    <w:rsid w:val="00B1475A"/>
    <w:rsid w:val="00B156C6"/>
    <w:rsid w:val="00B21330"/>
    <w:rsid w:val="00B21344"/>
    <w:rsid w:val="00B22FE8"/>
    <w:rsid w:val="00B26B58"/>
    <w:rsid w:val="00B411B1"/>
    <w:rsid w:val="00B53525"/>
    <w:rsid w:val="00B719E4"/>
    <w:rsid w:val="00B72D49"/>
    <w:rsid w:val="00BA0533"/>
    <w:rsid w:val="00BA3EC6"/>
    <w:rsid w:val="00BA5116"/>
    <w:rsid w:val="00BA78FE"/>
    <w:rsid w:val="00BB7588"/>
    <w:rsid w:val="00BD713C"/>
    <w:rsid w:val="00BE0774"/>
    <w:rsid w:val="00BE48F0"/>
    <w:rsid w:val="00BE4F32"/>
    <w:rsid w:val="00C144AE"/>
    <w:rsid w:val="00C163C0"/>
    <w:rsid w:val="00C20205"/>
    <w:rsid w:val="00C21952"/>
    <w:rsid w:val="00C249CB"/>
    <w:rsid w:val="00C2536D"/>
    <w:rsid w:val="00C2562C"/>
    <w:rsid w:val="00C26F6D"/>
    <w:rsid w:val="00C3155A"/>
    <w:rsid w:val="00C3454E"/>
    <w:rsid w:val="00C3504F"/>
    <w:rsid w:val="00C40474"/>
    <w:rsid w:val="00C50C2C"/>
    <w:rsid w:val="00C77E9F"/>
    <w:rsid w:val="00C8398F"/>
    <w:rsid w:val="00C86683"/>
    <w:rsid w:val="00C90D1C"/>
    <w:rsid w:val="00C93A60"/>
    <w:rsid w:val="00C95320"/>
    <w:rsid w:val="00C9701E"/>
    <w:rsid w:val="00CA5471"/>
    <w:rsid w:val="00CB0EA0"/>
    <w:rsid w:val="00CD30A8"/>
    <w:rsid w:val="00CD57F8"/>
    <w:rsid w:val="00CF0606"/>
    <w:rsid w:val="00CF4236"/>
    <w:rsid w:val="00CF4E9A"/>
    <w:rsid w:val="00D01CBD"/>
    <w:rsid w:val="00D049CB"/>
    <w:rsid w:val="00D07C27"/>
    <w:rsid w:val="00D10848"/>
    <w:rsid w:val="00D10DB6"/>
    <w:rsid w:val="00D11495"/>
    <w:rsid w:val="00D12CEE"/>
    <w:rsid w:val="00D1448B"/>
    <w:rsid w:val="00D22E4A"/>
    <w:rsid w:val="00D3158D"/>
    <w:rsid w:val="00D34405"/>
    <w:rsid w:val="00D40927"/>
    <w:rsid w:val="00D41280"/>
    <w:rsid w:val="00D41B02"/>
    <w:rsid w:val="00D46C24"/>
    <w:rsid w:val="00D543D6"/>
    <w:rsid w:val="00D56760"/>
    <w:rsid w:val="00D662AE"/>
    <w:rsid w:val="00D667A4"/>
    <w:rsid w:val="00D6799D"/>
    <w:rsid w:val="00D725B5"/>
    <w:rsid w:val="00D7384E"/>
    <w:rsid w:val="00D86EA8"/>
    <w:rsid w:val="00D9442D"/>
    <w:rsid w:val="00D97BFC"/>
    <w:rsid w:val="00DA148D"/>
    <w:rsid w:val="00DA436F"/>
    <w:rsid w:val="00DB0A4C"/>
    <w:rsid w:val="00DB0B78"/>
    <w:rsid w:val="00DB6622"/>
    <w:rsid w:val="00DB6F29"/>
    <w:rsid w:val="00DE173D"/>
    <w:rsid w:val="00DE621B"/>
    <w:rsid w:val="00DF2FD4"/>
    <w:rsid w:val="00DF5B00"/>
    <w:rsid w:val="00E00260"/>
    <w:rsid w:val="00E016F8"/>
    <w:rsid w:val="00E0271A"/>
    <w:rsid w:val="00E06E56"/>
    <w:rsid w:val="00E13252"/>
    <w:rsid w:val="00E13B4B"/>
    <w:rsid w:val="00E15156"/>
    <w:rsid w:val="00E16AE4"/>
    <w:rsid w:val="00E3060B"/>
    <w:rsid w:val="00E445FE"/>
    <w:rsid w:val="00E52A32"/>
    <w:rsid w:val="00E5754C"/>
    <w:rsid w:val="00E57BDD"/>
    <w:rsid w:val="00E70B81"/>
    <w:rsid w:val="00E7196B"/>
    <w:rsid w:val="00E838B6"/>
    <w:rsid w:val="00E90B6D"/>
    <w:rsid w:val="00E9134A"/>
    <w:rsid w:val="00E93242"/>
    <w:rsid w:val="00EA3A02"/>
    <w:rsid w:val="00EA7409"/>
    <w:rsid w:val="00EB3FD2"/>
    <w:rsid w:val="00EC1F81"/>
    <w:rsid w:val="00EC3D26"/>
    <w:rsid w:val="00EC45DC"/>
    <w:rsid w:val="00ED0B4F"/>
    <w:rsid w:val="00ED1EDB"/>
    <w:rsid w:val="00EF2D04"/>
    <w:rsid w:val="00F01779"/>
    <w:rsid w:val="00F0619E"/>
    <w:rsid w:val="00F10ACB"/>
    <w:rsid w:val="00F10C43"/>
    <w:rsid w:val="00F21D6A"/>
    <w:rsid w:val="00F21D76"/>
    <w:rsid w:val="00F35CBA"/>
    <w:rsid w:val="00F4462E"/>
    <w:rsid w:val="00F46F4F"/>
    <w:rsid w:val="00F50E4C"/>
    <w:rsid w:val="00F635A2"/>
    <w:rsid w:val="00F723E5"/>
    <w:rsid w:val="00F77C52"/>
    <w:rsid w:val="00F80CBA"/>
    <w:rsid w:val="00F81B80"/>
    <w:rsid w:val="00F81B9D"/>
    <w:rsid w:val="00F84050"/>
    <w:rsid w:val="00F96D2C"/>
    <w:rsid w:val="00FC724F"/>
    <w:rsid w:val="00FE75DF"/>
    <w:rsid w:val="00FE77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2283C4"/>
  <w15:docId w15:val="{25896A79-2620-4F32-A89F-01BA3E0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D10DB6"/>
    <w:pPr>
      <w:keepNext/>
      <w:keepLines/>
      <w:ind w:right="545"/>
      <w:outlineLvl w:val="1"/>
    </w:pPr>
    <w:rPr>
      <w:b/>
      <w:color w:val="00408E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0DB6"/>
    <w:rPr>
      <w:b/>
      <w:color w:val="00408E"/>
      <w:sz w:val="24"/>
      <w:szCs w:val="24"/>
      <w:lang w:eastAsia="ru-RU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hAnsi="Century Gothic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ru-RU" w:eastAsia="ru-RU" w:bidi="ru-RU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ru-R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4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1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2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C0"/>
    <w:rPr>
      <w:rFonts w:ascii="Calibri" w:eastAsia="Times New Roman" w:hAnsi="Calibri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C0"/>
    <w:rPr>
      <w:rFonts w:ascii="Calibri" w:eastAsia="Times New Roman" w:hAnsi="Calibri"/>
      <w:b/>
      <w:bCs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C163C0"/>
    <w:rPr>
      <w:rFonts w:ascii="Calibri" w:eastAsia="Times New Roman" w:hAnsi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11B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656C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6A85"/>
    <w:rPr>
      <w:color w:val="954F72" w:themeColor="followedHyperlink"/>
      <w:u w:val="single"/>
    </w:rPr>
  </w:style>
  <w:style w:type="paragraph" w:customStyle="1" w:styleId="Default">
    <w:name w:val="Default"/>
    <w:rsid w:val="008930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8724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en/system/files/files/ccwg-acct-ws2-final-27mar18-en.pdf" TargetMode="External"/><Relationship Id="rId13" Type="http://schemas.openxmlformats.org/officeDocument/2006/relationships/hyperlink" Target="https://community.icann.org/display/WEIA/Jurisdic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mmunity.icann.org/display/WEIA/Jurisdict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mmunity.icann.org/pages/viewpage.action?pageId=5964328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icann.org/display/WEIA/WS2+-+Enhancing+ICANN+Accountability+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.icann.org/display/WEIA/Human+Rights" TargetMode="External"/><Relationship Id="rId10" Type="http://schemas.openxmlformats.org/officeDocument/2006/relationships/hyperlink" Target="https://community.icann.org/display/WEIA/WS2+-+Enhancing+ICANN+Accountability+Ho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\\\Users\tomwdale\Downloads\Enhancing%20ICANN%20Accountability%20FINAL%20-%20Clean%20-%20Charter%20-%20updated%203%20November%202014%20(1).pdf" TargetMode="External"/><Relationship Id="rId14" Type="http://schemas.openxmlformats.org/officeDocument/2006/relationships/hyperlink" Target="https://community.icann.org/display/WEIA/Diversity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ann.org/en/system/files/correspondence/gac-to-board-09mar16-en.pdf" TargetMode="External"/><Relationship Id="rId2" Type="http://schemas.openxmlformats.org/officeDocument/2006/relationships/hyperlink" Target="https://mm.icann.org/pipermail/comments-ccwg-acct-ws2-final-30mar18/attachments/20180511/7043bf04/ICANN-WS2-2emeconsultation-Juridiction-CommentairesduGouvernementfrancais-0001.pdf" TargetMode="External"/><Relationship Id="rId1" Type="http://schemas.openxmlformats.org/officeDocument/2006/relationships/hyperlink" Target="https://mm.icann.org/pipermail/comments-ccwg-acct-ws2-final-30mar18/attachments/20180511/7043bf04/ICANN-WS2-2emeconsultation-Diversite-CommentairesduGouvernementfrancais-00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Lim\Dropbox%20(ACIG)\GAC%20Secretariat\Template%20-%20ACIG%20GAC%20Brief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D172-1C5B-4F43-B580-5B4752AD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ACIG GAC Briefing.dotx</Template>
  <TotalTime>20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7806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Трейси (Tracey)</dc:creator>
  <cp:lastModifiedBy>Eli Mani</cp:lastModifiedBy>
  <cp:revision>7</cp:revision>
  <cp:lastPrinted>2017-02-17T01:54:00Z</cp:lastPrinted>
  <dcterms:created xsi:type="dcterms:W3CDTF">2018-06-27T07:27:00Z</dcterms:created>
  <dcterms:modified xsi:type="dcterms:W3CDTF">2018-07-03T05:48:00Z</dcterms:modified>
</cp:coreProperties>
</file>